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06085" w:rsidR="00F75106" w:rsidRDefault="00E65872" w14:paraId="091DFF6A" w14:textId="77777777">
      <w:pPr>
        <w:pStyle w:val="in-table"/>
      </w:pPr>
      <w:bookmarkStart w:name="_GoBack" w:id="0"/>
      <w:bookmarkEnd w:id="0"/>
      <w:r w:rsidRPr="00206085">
        <w:rPr>
          <w:noProof/>
        </w:rPr>
        <mc:AlternateContent>
          <mc:Choice Requires="wps">
            <w:drawing>
              <wp:anchor distT="0" distB="0" distL="114300" distR="114300" simplePos="0" relativeHeight="251658240" behindDoc="0" locked="0" layoutInCell="1" allowOverlap="1" wp14:editId="5FFE44E9" wp14:anchorId="22382C0A">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329BB" w:rsidRDefault="00C329BB" w14:paraId="49CD469E"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2382C0A">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">
                <v:textbox style="layout-flow:vertical;mso-layout-flow-alt:bottom-to-top">
                  <w:txbxContent>
                    <w:p w:rsidR="00C329BB" w:rsidRDefault="00C329BB" w14:paraId="49CD469E"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Pr="00206085" w:rsidR="00620AD2" w14:paraId="08516E0B" w14:textId="77777777">
        <w:tc>
          <w:tcPr>
            <w:tcW w:w="0" w:type="auto"/>
          </w:tcPr>
          <w:p w:rsidRPr="00206085" w:rsidR="00C329BB" w:rsidRDefault="00E65872" w14:paraId="5EDC2E7E" w14:textId="77777777">
            <w:bookmarkStart w:name="woordmerk" w:id="1"/>
            <w:bookmarkStart w:name="woordmerk_bk" w:id="2"/>
            <w:bookmarkEnd w:id="1"/>
            <w:r w:rsidRPr="00206085">
              <w:rPr>
                <w:noProof/>
              </w:rPr>
              <w:drawing>
                <wp:inline distT="0" distB="0" distL="0" distR="0" wp14:anchorId="38A69136" wp14:editId="691D940A">
                  <wp:extent cx="2340869" cy="1583439"/>
                  <wp:effectExtent l="0" t="0" r="254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Pr="00206085" w:rsidR="00F75106" w:rsidRDefault="00E65872" w14:paraId="3FF07F53" w14:textId="77777777">
            <w:r w:rsidRPr="00206085">
              <w:fldChar w:fldCharType="begin"/>
            </w:r>
            <w:r w:rsidRPr="00206085">
              <w:instrText xml:space="preserve"> DOCPROPERTY woordmerk </w:instrText>
            </w:r>
            <w:r w:rsidRPr="00206085">
              <w:fldChar w:fldCharType="end"/>
            </w:r>
          </w:p>
        </w:tc>
      </w:tr>
    </w:tbl>
    <w:p w:rsidRPr="00206085" w:rsidR="00F75106" w:rsidRDefault="00F75106" w14:paraId="36F75C23"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206085" w:rsidR="00620AD2" w14:paraId="08712F67" w14:textId="77777777">
        <w:trPr>
          <w:trHeight w:val="306" w:hRule="exact"/>
        </w:trPr>
        <w:tc>
          <w:tcPr>
            <w:tcW w:w="7512" w:type="dxa"/>
            <w:gridSpan w:val="2"/>
          </w:tcPr>
          <w:p w:rsidRPr="00206085" w:rsidR="00F75106" w:rsidRDefault="00E65872" w14:paraId="4A9670C6" w14:textId="77777777">
            <w:pPr>
              <w:pStyle w:val="Huisstijl-Retouradres"/>
            </w:pPr>
            <w:r w:rsidRPr="00206085">
              <w:fldChar w:fldCharType="begin"/>
            </w:r>
            <w:r w:rsidRPr="00206085" w:rsidR="000129A4">
              <w:instrText xml:space="preserve"> DOCPROPERTY retouradres </w:instrText>
            </w:r>
            <w:r w:rsidRPr="00206085">
              <w:fldChar w:fldCharType="separate"/>
            </w:r>
            <w:r w:rsidRPr="00206085" w:rsidR="000129A4">
              <w:t>&gt; Retouradres Postbus 20301 2500 EH  Den Haag</w:t>
            </w:r>
            <w:r w:rsidRPr="00206085">
              <w:fldChar w:fldCharType="end"/>
            </w:r>
          </w:p>
        </w:tc>
      </w:tr>
      <w:tr w:rsidRPr="00206085" w:rsidR="00620AD2" w14:paraId="65040CD7" w14:textId="77777777">
        <w:trPr>
          <w:cantSplit/>
          <w:trHeight w:val="85" w:hRule="exact"/>
        </w:trPr>
        <w:tc>
          <w:tcPr>
            <w:tcW w:w="7512" w:type="dxa"/>
            <w:gridSpan w:val="2"/>
          </w:tcPr>
          <w:p w:rsidRPr="00206085" w:rsidR="00F75106" w:rsidRDefault="00F75106" w14:paraId="7934433A" w14:textId="77777777">
            <w:pPr>
              <w:pStyle w:val="Huisstijl-Rubricering"/>
            </w:pPr>
          </w:p>
        </w:tc>
      </w:tr>
      <w:tr w:rsidRPr="00206085" w:rsidR="00620AD2" w14:paraId="711BF52A" w14:textId="77777777">
        <w:trPr>
          <w:cantSplit/>
          <w:trHeight w:val="187" w:hRule="exact"/>
        </w:trPr>
        <w:tc>
          <w:tcPr>
            <w:tcW w:w="7512" w:type="dxa"/>
            <w:gridSpan w:val="2"/>
          </w:tcPr>
          <w:p w:rsidRPr="00206085" w:rsidR="00F75106" w:rsidRDefault="00E65872" w14:paraId="676D8F36" w14:textId="77777777">
            <w:pPr>
              <w:pStyle w:val="Huisstijl-Rubricering"/>
            </w:pPr>
            <w:r w:rsidRPr="00206085">
              <w:fldChar w:fldCharType="begin"/>
            </w:r>
            <w:r w:rsidRPr="00206085" w:rsidR="000129A4">
              <w:instrText xml:space="preserve"> DOCPROPERTY rubricering </w:instrText>
            </w:r>
            <w:r w:rsidRPr="00206085">
              <w:fldChar w:fldCharType="end"/>
            </w:r>
          </w:p>
        </w:tc>
      </w:tr>
      <w:tr w:rsidRPr="00206085" w:rsidR="00620AD2" w14:paraId="4D8E54A7" w14:textId="77777777">
        <w:trPr>
          <w:cantSplit/>
          <w:trHeight w:val="2166" w:hRule="exact"/>
        </w:trPr>
        <w:tc>
          <w:tcPr>
            <w:tcW w:w="7512" w:type="dxa"/>
            <w:gridSpan w:val="2"/>
          </w:tcPr>
          <w:p w:rsidRPr="00206085" w:rsidR="000129A4" w:rsidRDefault="008A7B34" w14:paraId="58993156" w14:textId="2B469D9B">
            <w:pPr>
              <w:pStyle w:val="adres"/>
            </w:pPr>
            <w:r w:rsidRPr="00206085">
              <w:fldChar w:fldCharType="begin"/>
            </w:r>
            <w:r w:rsidRPr="00206085" w:rsidR="00E65872">
              <w:instrText xml:space="preserve"> DOCVARIABLE adres *\MERGEFORMAT </w:instrText>
            </w:r>
            <w:r w:rsidRPr="00206085">
              <w:fldChar w:fldCharType="separate"/>
            </w:r>
            <w:r w:rsidRPr="00206085" w:rsidR="00206085">
              <w:t>Aan d</w:t>
            </w:r>
            <w:r w:rsidRPr="00206085" w:rsidR="00E65872">
              <w:t>e Voorzitter van de Tweede Kamer</w:t>
            </w:r>
          </w:p>
          <w:p w:rsidRPr="00206085" w:rsidR="000129A4" w:rsidRDefault="00E65872" w14:paraId="08068B6F" w14:textId="77777777">
            <w:pPr>
              <w:pStyle w:val="adres"/>
            </w:pPr>
            <w:r w:rsidRPr="00206085">
              <w:t>der Staten-Generaal</w:t>
            </w:r>
          </w:p>
          <w:p w:rsidRPr="00206085" w:rsidR="000129A4" w:rsidRDefault="00E65872" w14:paraId="7E1FD6F8" w14:textId="77777777">
            <w:pPr>
              <w:pStyle w:val="adres"/>
            </w:pPr>
            <w:r w:rsidRPr="00206085">
              <w:t>Postbus 20018 </w:t>
            </w:r>
          </w:p>
          <w:p w:rsidRPr="00206085" w:rsidR="000129A4" w:rsidRDefault="00E65872" w14:paraId="2686EA65" w14:textId="77777777">
            <w:pPr>
              <w:pStyle w:val="adres"/>
            </w:pPr>
            <w:r w:rsidRPr="00206085">
              <w:t>2500 EA  DEN HAAG</w:t>
            </w:r>
            <w:r w:rsidRPr="00206085" w:rsidR="008A7B34">
              <w:fldChar w:fldCharType="end"/>
            </w:r>
          </w:p>
          <w:p w:rsidRPr="00206085" w:rsidR="00F75106" w:rsidRDefault="00E65872" w14:paraId="20DAF9BD" w14:textId="77777777">
            <w:pPr>
              <w:pStyle w:val="kixcode"/>
            </w:pPr>
            <w:r w:rsidRPr="00206085">
              <w:fldChar w:fldCharType="begin"/>
            </w:r>
            <w:r w:rsidRPr="00206085" w:rsidR="000129A4">
              <w:instrText xml:space="preserve"> DOCPROPERTY kix </w:instrText>
            </w:r>
            <w:r w:rsidRPr="00206085">
              <w:fldChar w:fldCharType="end"/>
            </w:r>
          </w:p>
          <w:p w:rsidRPr="00206085" w:rsidR="00F75106" w:rsidRDefault="00F75106" w14:paraId="0BAB815C" w14:textId="77777777">
            <w:pPr>
              <w:pStyle w:val="kixcode"/>
            </w:pPr>
          </w:p>
        </w:tc>
      </w:tr>
      <w:tr w:rsidRPr="00206085" w:rsidR="00620AD2" w14:paraId="3C50FC1D" w14:textId="77777777">
        <w:trPr>
          <w:trHeight w:val="465" w:hRule="exact"/>
        </w:trPr>
        <w:tc>
          <w:tcPr>
            <w:tcW w:w="7512" w:type="dxa"/>
            <w:gridSpan w:val="2"/>
          </w:tcPr>
          <w:p w:rsidRPr="00206085" w:rsidR="00F75106" w:rsidRDefault="00F75106" w14:paraId="68526747" w14:textId="77777777">
            <w:pPr>
              <w:pStyle w:val="broodtekst"/>
            </w:pPr>
          </w:p>
        </w:tc>
      </w:tr>
      <w:tr w:rsidRPr="00206085" w:rsidR="00620AD2" w14:paraId="6887CB7B" w14:textId="77777777">
        <w:trPr>
          <w:trHeight w:val="238" w:hRule="exact"/>
        </w:trPr>
        <w:tc>
          <w:tcPr>
            <w:tcW w:w="1099" w:type="dxa"/>
          </w:tcPr>
          <w:p w:rsidRPr="00206085" w:rsidR="00F75106" w:rsidRDefault="00E65872" w14:paraId="09E4BEE7" w14:textId="77777777">
            <w:pPr>
              <w:pStyle w:val="datumonderwerp"/>
              <w:tabs>
                <w:tab w:val="clear" w:pos="794"/>
                <w:tab w:val="left" w:pos="1092"/>
              </w:tabs>
              <w:ind w:left="1140" w:hanging="1140"/>
              <w:rPr>
                <w:noProof/>
              </w:rPr>
            </w:pPr>
            <w:r w:rsidRPr="00206085">
              <w:rPr>
                <w:noProof/>
              </w:rPr>
              <w:fldChar w:fldCharType="begin"/>
            </w:r>
            <w:r w:rsidRPr="00206085" w:rsidR="00D2034F">
              <w:rPr>
                <w:noProof/>
              </w:rPr>
              <w:instrText xml:space="preserve"> DOCPROPERTY _datum </w:instrText>
            </w:r>
            <w:r w:rsidRPr="00206085">
              <w:rPr>
                <w:noProof/>
              </w:rPr>
              <w:fldChar w:fldCharType="separate"/>
            </w:r>
            <w:r w:rsidRPr="00206085" w:rsidR="00D2034F">
              <w:rPr>
                <w:noProof/>
              </w:rPr>
              <w:t>Datum</w:t>
            </w:r>
            <w:r w:rsidRPr="00206085">
              <w:rPr>
                <w:noProof/>
              </w:rPr>
              <w:fldChar w:fldCharType="end"/>
            </w:r>
          </w:p>
        </w:tc>
        <w:tc>
          <w:tcPr>
            <w:tcW w:w="6413" w:type="dxa"/>
          </w:tcPr>
          <w:p w:rsidRPr="00206085" w:rsidR="00F75106" w:rsidRDefault="00206085" w14:paraId="277C59A5" w14:textId="15295AE0">
            <w:pPr>
              <w:pStyle w:val="datumonderwerp"/>
              <w:tabs>
                <w:tab w:val="clear" w:pos="794"/>
                <w:tab w:val="left" w:pos="1092"/>
              </w:tabs>
              <w:ind w:left="1140" w:hanging="1140"/>
            </w:pPr>
            <w:r w:rsidRPr="00206085">
              <w:t>31</w:t>
            </w:r>
            <w:r w:rsidRPr="00206085" w:rsidR="00E65872">
              <w:t xml:space="preserve"> januari 2024</w:t>
            </w:r>
          </w:p>
        </w:tc>
      </w:tr>
      <w:tr w:rsidRPr="00206085" w:rsidR="00620AD2" w14:paraId="41FA883A" w14:textId="77777777">
        <w:trPr>
          <w:trHeight w:val="482" w:hRule="exact"/>
        </w:trPr>
        <w:tc>
          <w:tcPr>
            <w:tcW w:w="1099" w:type="dxa"/>
          </w:tcPr>
          <w:p w:rsidRPr="00206085" w:rsidR="00F75106" w:rsidRDefault="00E65872" w14:paraId="3C9624E5" w14:textId="77777777">
            <w:pPr>
              <w:pStyle w:val="datumonderwerp"/>
              <w:ind w:left="743" w:hanging="743"/>
              <w:rPr>
                <w:noProof/>
              </w:rPr>
            </w:pPr>
            <w:r w:rsidRPr="00206085">
              <w:rPr>
                <w:noProof/>
              </w:rPr>
              <w:fldChar w:fldCharType="begin"/>
            </w:r>
            <w:r w:rsidRPr="00206085" w:rsidR="00D2034F">
              <w:rPr>
                <w:noProof/>
              </w:rPr>
              <w:instrText xml:space="preserve"> DOCPROPERTY _onderwerp </w:instrText>
            </w:r>
            <w:r w:rsidRPr="00206085">
              <w:rPr>
                <w:noProof/>
              </w:rPr>
              <w:fldChar w:fldCharType="separate"/>
            </w:r>
            <w:r w:rsidRPr="00206085" w:rsidR="00D2034F">
              <w:rPr>
                <w:noProof/>
              </w:rPr>
              <w:t>Onderwerp</w:t>
            </w:r>
            <w:r w:rsidRPr="00206085">
              <w:rPr>
                <w:noProof/>
              </w:rPr>
              <w:fldChar w:fldCharType="end"/>
            </w:r>
          </w:p>
        </w:tc>
        <w:tc>
          <w:tcPr>
            <w:tcW w:w="6413" w:type="dxa"/>
          </w:tcPr>
          <w:p w:rsidRPr="00206085" w:rsidR="00F75106" w:rsidRDefault="00E65872" w14:paraId="67123EA7" w14:textId="77777777">
            <w:pPr>
              <w:pStyle w:val="datumonderwerp"/>
            </w:pPr>
            <w:r w:rsidRPr="00206085">
              <w:fldChar w:fldCharType="begin"/>
            </w:r>
            <w:r w:rsidRPr="00206085" w:rsidR="000129A4">
              <w:instrText xml:space="preserve"> DOCPROPERTY onderwerp </w:instrText>
            </w:r>
            <w:r w:rsidRPr="00206085">
              <w:fldChar w:fldCharType="separate"/>
            </w:r>
            <w:r w:rsidRPr="00206085" w:rsidR="000129A4">
              <w:t>Stand van zaken implementatie NIS2- en CER-richtlijnen</w:t>
            </w:r>
            <w:r w:rsidRPr="00206085">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206085" w:rsidR="00620AD2" w14:paraId="39741C72" w14:textId="77777777">
        <w:tc>
          <w:tcPr>
            <w:tcW w:w="2013" w:type="dxa"/>
          </w:tcPr>
          <w:p w:rsidRPr="00206085" w:rsidR="00C329BB" w:rsidP="000C51A3" w:rsidRDefault="00E65872" w14:paraId="4348E0B4" w14:textId="69D540DC">
            <w:pPr>
              <w:pStyle w:val="afzendgegevens-bold"/>
            </w:pPr>
            <w:bookmarkStart w:name="referentiegegevens" w:id="3"/>
            <w:bookmarkStart w:name="referentiegegevens_bk" w:id="4"/>
            <w:bookmarkEnd w:id="3"/>
            <w:r w:rsidRPr="00206085">
              <w:t xml:space="preserve">Minister van Justitie en Veiligheid </w:t>
            </w:r>
          </w:p>
          <w:p w:rsidRPr="00206085" w:rsidR="00E65872" w:rsidP="000C51A3" w:rsidRDefault="00E65872" w14:paraId="35263128" w14:textId="6380DC00">
            <w:pPr>
              <w:pStyle w:val="afzendgegevens-bold"/>
              <w:rPr>
                <w:b w:val="0"/>
                <w:bCs/>
              </w:rPr>
            </w:pPr>
            <w:r w:rsidRPr="00206085">
              <w:rPr>
                <w:b w:val="0"/>
                <w:bCs/>
              </w:rPr>
              <w:t>Sector Staats- en Bestuursrecht</w:t>
            </w:r>
          </w:p>
          <w:p w:rsidRPr="00206085" w:rsidR="000C51A3" w:rsidP="000C51A3" w:rsidRDefault="00E65872" w14:paraId="5DE125BE" w14:textId="77777777">
            <w:pPr>
              <w:pStyle w:val="witregel1"/>
            </w:pPr>
            <w:r w:rsidRPr="00206085">
              <w:t> </w:t>
            </w:r>
          </w:p>
          <w:p w:rsidRPr="00206085" w:rsidR="000C51A3" w:rsidP="000C51A3" w:rsidRDefault="00E65872" w14:paraId="2171C763" w14:textId="77777777">
            <w:pPr>
              <w:pStyle w:val="afzendgegevens"/>
              <w:rPr>
                <w:lang w:val="de-DE"/>
              </w:rPr>
            </w:pPr>
            <w:r w:rsidRPr="00206085">
              <w:rPr>
                <w:lang w:val="de-DE"/>
              </w:rPr>
              <w:t>Turfmarkt 147</w:t>
            </w:r>
          </w:p>
          <w:p w:rsidRPr="00206085" w:rsidR="000C51A3" w:rsidP="000C51A3" w:rsidRDefault="00E65872" w14:paraId="24FAE0E1" w14:textId="77777777">
            <w:pPr>
              <w:pStyle w:val="afzendgegevens"/>
              <w:rPr>
                <w:lang w:val="de-DE"/>
              </w:rPr>
            </w:pPr>
            <w:r w:rsidRPr="00206085">
              <w:rPr>
                <w:lang w:val="de-DE"/>
              </w:rPr>
              <w:t>2511 DP  Den Haag</w:t>
            </w:r>
          </w:p>
          <w:p w:rsidRPr="00206085" w:rsidR="000C51A3" w:rsidP="000C51A3" w:rsidRDefault="00E65872" w14:paraId="4791EF41" w14:textId="77777777">
            <w:pPr>
              <w:pStyle w:val="afzendgegevens"/>
              <w:rPr>
                <w:lang w:val="de-DE"/>
              </w:rPr>
            </w:pPr>
            <w:r w:rsidRPr="00206085">
              <w:rPr>
                <w:lang w:val="de-DE"/>
              </w:rPr>
              <w:t>Postbus 20301</w:t>
            </w:r>
          </w:p>
          <w:p w:rsidRPr="00206085" w:rsidR="000C51A3" w:rsidP="000C51A3" w:rsidRDefault="00E65872" w14:paraId="44947072" w14:textId="77777777">
            <w:pPr>
              <w:pStyle w:val="afzendgegevens"/>
              <w:rPr>
                <w:lang w:val="de-DE"/>
              </w:rPr>
            </w:pPr>
            <w:r w:rsidRPr="00206085">
              <w:rPr>
                <w:lang w:val="de-DE"/>
              </w:rPr>
              <w:t>2500 EH  Den Haag</w:t>
            </w:r>
          </w:p>
          <w:p w:rsidRPr="00206085" w:rsidR="000C51A3" w:rsidP="000C51A3" w:rsidRDefault="00E65872" w14:paraId="0DAAAB78" w14:textId="77777777">
            <w:pPr>
              <w:pStyle w:val="afzendgegevens"/>
              <w:rPr>
                <w:lang w:val="de-DE"/>
              </w:rPr>
            </w:pPr>
            <w:r w:rsidRPr="00206085">
              <w:rPr>
                <w:lang w:val="de-DE"/>
              </w:rPr>
              <w:t>www.rijksoverheid.nl/jenv</w:t>
            </w:r>
          </w:p>
          <w:p w:rsidRPr="00206085" w:rsidR="000C51A3" w:rsidP="000C51A3" w:rsidRDefault="00E65872" w14:paraId="47BC9AE9" w14:textId="77777777">
            <w:pPr>
              <w:pStyle w:val="witregel2"/>
            </w:pPr>
            <w:r w:rsidRPr="00206085">
              <w:t> </w:t>
            </w:r>
          </w:p>
          <w:p w:rsidRPr="00206085" w:rsidR="000C51A3" w:rsidP="000C51A3" w:rsidRDefault="00E65872" w14:paraId="298FB9EF" w14:textId="77777777">
            <w:pPr>
              <w:pStyle w:val="referentiekopjes"/>
            </w:pPr>
            <w:r w:rsidRPr="00206085">
              <w:t>Ons kenmerk</w:t>
            </w:r>
          </w:p>
          <w:p w:rsidRPr="00206085" w:rsidR="000C51A3" w:rsidP="000C51A3" w:rsidRDefault="00E65872" w14:paraId="09DCBEC6" w14:textId="77777777">
            <w:pPr>
              <w:pStyle w:val="referentiegegevens"/>
            </w:pPr>
            <w:r w:rsidRPr="00206085">
              <w:fldChar w:fldCharType="begin"/>
            </w:r>
            <w:r w:rsidRPr="00206085">
              <w:instrText xml:space="preserve"> DOCPROPERTY onskenmerk </w:instrText>
            </w:r>
            <w:r w:rsidRPr="00206085">
              <w:fldChar w:fldCharType="separate"/>
            </w:r>
            <w:r w:rsidRPr="00206085">
              <w:t>5193678</w:t>
            </w:r>
            <w:r w:rsidRPr="00206085">
              <w:fldChar w:fldCharType="end"/>
            </w:r>
          </w:p>
          <w:p w:rsidRPr="00206085" w:rsidR="000C51A3" w:rsidP="000C51A3" w:rsidRDefault="00E65872" w14:paraId="748F6733" w14:textId="77777777">
            <w:pPr>
              <w:pStyle w:val="witregel1"/>
            </w:pPr>
            <w:r w:rsidRPr="00206085">
              <w:t> </w:t>
            </w:r>
          </w:p>
          <w:p w:rsidRPr="00206085" w:rsidR="000C51A3" w:rsidP="000C51A3" w:rsidRDefault="00E65872" w14:paraId="3C77155A" w14:textId="77777777">
            <w:pPr>
              <w:pStyle w:val="clausule"/>
            </w:pPr>
            <w:r w:rsidRPr="00206085">
              <w:t>Bij beantwoording de datum en ons kenmerk vermelden. Wilt u slechts één zaak in uw brief behandelen.</w:t>
            </w:r>
          </w:p>
          <w:p w:rsidRPr="00206085" w:rsidR="000C51A3" w:rsidP="000C51A3" w:rsidRDefault="000C51A3" w14:paraId="3F7AE10E" w14:textId="77777777">
            <w:pPr>
              <w:pStyle w:val="referentiegegevens"/>
            </w:pPr>
          </w:p>
          <w:bookmarkEnd w:id="4"/>
          <w:p w:rsidRPr="00206085" w:rsidR="000C51A3" w:rsidP="000C51A3" w:rsidRDefault="000C51A3" w14:paraId="6818BB3D" w14:textId="77777777">
            <w:pPr>
              <w:pStyle w:val="referentiegegevens"/>
            </w:pPr>
          </w:p>
          <w:p w:rsidRPr="00206085" w:rsidR="00F75106" w:rsidRDefault="00E65872" w14:paraId="17D3F53E" w14:textId="77777777">
            <w:pPr>
              <w:pStyle w:val="referentiegegevens"/>
            </w:pPr>
            <w:r w:rsidRPr="00206085">
              <w:fldChar w:fldCharType="begin"/>
            </w:r>
            <w:r w:rsidRPr="00206085">
              <w:instrText xml:space="preserve"> DOCPROPERTY referentiegegevens </w:instrText>
            </w:r>
            <w:r w:rsidRPr="00206085">
              <w:fldChar w:fldCharType="end"/>
            </w:r>
          </w:p>
        </w:tc>
      </w:tr>
    </w:tbl>
    <w:p w:rsidRPr="00206085" w:rsidR="00F75106" w:rsidRDefault="00F75106" w14:paraId="367421D9" w14:textId="77777777">
      <w:pPr>
        <w:pStyle w:val="broodtekst"/>
      </w:pPr>
    </w:p>
    <w:p w:rsidRPr="00206085" w:rsidR="00F75106" w:rsidRDefault="00F75106" w14:paraId="204352E8" w14:textId="77777777">
      <w:pPr>
        <w:pStyle w:val="broodtekst"/>
        <w:sectPr w:rsidRPr="00206085"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elraster"/>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gridCol w:w="182"/>
      </w:tblGrid>
      <w:tr w:rsidR="00620AD2" w:rsidTr="000C51A3" w14:paraId="76532506" w14:textId="77777777">
        <w:trPr>
          <w:trHeight w:val="5839"/>
        </w:trPr>
        <w:tc>
          <w:tcPr>
            <w:tcW w:w="7716" w:type="dxa"/>
            <w:gridSpan w:val="4"/>
          </w:tcPr>
          <w:p w:rsidRPr="00206085" w:rsidR="004D6734" w:rsidP="00C329BB" w:rsidRDefault="004D6734" w14:paraId="51D05649" w14:textId="77777777"/>
          <w:p w:rsidRPr="00206085" w:rsidR="00037463" w:rsidP="00C329BB" w:rsidRDefault="00E65872" w14:paraId="408B1DB7" w14:textId="77777777">
            <w:r w:rsidRPr="00206085">
              <w:t>Met</w:t>
            </w:r>
            <w:r w:rsidRPr="00206085" w:rsidR="00C329BB">
              <w:t xml:space="preserve"> deze brief informeer ik uw Kamer over de stand van zaken van de implementatie van </w:t>
            </w:r>
            <w:r w:rsidRPr="00206085" w:rsidR="002118EC">
              <w:t>twee</w:t>
            </w:r>
            <w:r w:rsidRPr="00206085" w:rsidR="006A430B">
              <w:t xml:space="preserve"> Europese richtlijnen: </w:t>
            </w:r>
            <w:bookmarkStart w:name="_Hlk156891005" w:id="7"/>
            <w:r w:rsidRPr="00206085" w:rsidR="006A430B">
              <w:t xml:space="preserve">de </w:t>
            </w:r>
            <w:r w:rsidRPr="00206085" w:rsidR="00AE623F">
              <w:t>nieuwe</w:t>
            </w:r>
            <w:r w:rsidRPr="00206085" w:rsidR="006A430B">
              <w:t xml:space="preserve"> richtlijn netwerk- en informatiebeveiliging (de NIS2-richtlijn</w:t>
            </w:r>
            <w:r w:rsidRPr="00206085" w:rsidR="00AE623F">
              <w:t>, ter vervanging van de NIS1-richtlijn</w:t>
            </w:r>
            <w:r w:rsidRPr="00206085" w:rsidR="006A430B">
              <w:t xml:space="preserve">) en de richtlijn </w:t>
            </w:r>
            <w:r w:rsidRPr="00206085" w:rsidR="00AE623F">
              <w:t xml:space="preserve">weerbaarheid </w:t>
            </w:r>
            <w:r w:rsidRPr="00206085" w:rsidR="006A430B">
              <w:t>kritieke entiteiten (de CER-richtlijn)</w:t>
            </w:r>
            <w:bookmarkEnd w:id="7"/>
            <w:r w:rsidRPr="00206085" w:rsidR="006A430B">
              <w:t>.</w:t>
            </w:r>
            <w:r w:rsidRPr="00206085">
              <w:rPr>
                <w:rStyle w:val="Voetnootmarkering"/>
              </w:rPr>
              <w:footnoteReference w:id="1"/>
            </w:r>
            <w:r w:rsidRPr="00206085" w:rsidR="004D6734">
              <w:t xml:space="preserve"> </w:t>
            </w:r>
            <w:r w:rsidRPr="00206085">
              <w:rPr>
                <w:rStyle w:val="Voetnootmarkering"/>
              </w:rPr>
              <w:footnoteReference w:id="2"/>
            </w:r>
            <w:r w:rsidRPr="00206085" w:rsidR="00C329BB">
              <w:t xml:space="preserve"> </w:t>
            </w:r>
            <w:bookmarkStart w:name="_Hlk156833180" w:id="8"/>
            <w:r w:rsidRPr="00206085" w:rsidR="00C329BB">
              <w:t xml:space="preserve">Als coördinerend bewindspersoon voor </w:t>
            </w:r>
            <w:r w:rsidRPr="00206085" w:rsidR="00334770">
              <w:t xml:space="preserve">cybersecurity en </w:t>
            </w:r>
            <w:r w:rsidRPr="00206085" w:rsidR="00C329BB">
              <w:t>de bescherming van vitale infrastructuur voer ik regie op de implementatie van beide richtlijnen. Mijn ministerie werkt</w:t>
            </w:r>
            <w:r w:rsidRPr="00206085" w:rsidR="002118EC">
              <w:t xml:space="preserve"> samen </w:t>
            </w:r>
            <w:r w:rsidRPr="00206085" w:rsidR="00C329BB">
              <w:t xml:space="preserve">met de betrokken vakdepartementen aan de totstandkoming van de wetsvoorstellen ter implementatie van de richtlijnen in nationale wetgeving. Dit is een omvangrijk en complex traject dat uiterste zorgvuldigheid vergt, juist ook </w:t>
            </w:r>
            <w:r w:rsidRPr="00206085" w:rsidR="001A0E10">
              <w:t>vanwege de impact</w:t>
            </w:r>
            <w:r w:rsidRPr="00206085" w:rsidR="00C329BB">
              <w:t xml:space="preserve"> voor</w:t>
            </w:r>
            <w:r w:rsidRPr="00206085" w:rsidR="001A0E10">
              <w:t xml:space="preserve"> de publieke en private sector</w:t>
            </w:r>
            <w:r w:rsidRPr="00206085" w:rsidR="00C329BB">
              <w:t xml:space="preserve">. </w:t>
            </w:r>
          </w:p>
          <w:p w:rsidRPr="00206085" w:rsidR="00037463" w:rsidP="00C329BB" w:rsidRDefault="00037463" w14:paraId="33FFBE3D" w14:textId="77777777"/>
          <w:p w:rsidRPr="00206085" w:rsidR="00037463" w:rsidP="004B7CE2" w:rsidRDefault="00E65872" w14:paraId="7531EBF2" w14:textId="77777777">
            <w:r w:rsidRPr="00206085">
              <w:t xml:space="preserve">Het </w:t>
            </w:r>
            <w:r w:rsidRPr="00206085" w:rsidR="004B7CE2">
              <w:t>omzetten</w:t>
            </w:r>
            <w:r w:rsidRPr="00206085">
              <w:t xml:space="preserve"> van de richtlijnen in </w:t>
            </w:r>
            <w:r w:rsidRPr="00206085" w:rsidR="004B7CE2">
              <w:t>nationale wetgeving vraagt</w:t>
            </w:r>
            <w:r w:rsidRPr="00206085" w:rsidR="00BC491B">
              <w:t xml:space="preserve"> </w:t>
            </w:r>
            <w:r w:rsidRPr="00206085" w:rsidR="004B7CE2">
              <w:t>meer tijd da</w:t>
            </w:r>
            <w:r w:rsidRPr="00206085" w:rsidR="00BC491B">
              <w:t>n</w:t>
            </w:r>
            <w:r w:rsidRPr="00206085" w:rsidR="004B7CE2">
              <w:t xml:space="preserve"> in eerste instantie </w:t>
            </w:r>
            <w:r w:rsidRPr="00206085" w:rsidR="00F24762">
              <w:t xml:space="preserve">werd </w:t>
            </w:r>
            <w:r w:rsidRPr="00206085" w:rsidR="004B7CE2">
              <w:t xml:space="preserve">verwacht. </w:t>
            </w:r>
            <w:bookmarkEnd w:id="8"/>
            <w:r w:rsidRPr="00206085">
              <w:t xml:space="preserve">De </w:t>
            </w:r>
            <w:r w:rsidRPr="00206085" w:rsidR="00325F85">
              <w:t xml:space="preserve">conceptwetsvoorstellen </w:t>
            </w:r>
            <w:r w:rsidRPr="00206085">
              <w:t>z</w:t>
            </w:r>
            <w:r w:rsidRPr="00206085" w:rsidR="00325F85">
              <w:t xml:space="preserve">ullen </w:t>
            </w:r>
            <w:r w:rsidRPr="00206085" w:rsidR="008B1C2C">
              <w:t>n</w:t>
            </w:r>
            <w:r w:rsidRPr="00206085" w:rsidR="00F24762">
              <w:t xml:space="preserve">aar verwachting </w:t>
            </w:r>
            <w:r w:rsidRPr="00206085" w:rsidR="003E43B0">
              <w:t>voor</w:t>
            </w:r>
            <w:r w:rsidRPr="00206085" w:rsidR="0025348C">
              <w:t xml:space="preserve"> de zomer van</w:t>
            </w:r>
            <w:r w:rsidRPr="00206085">
              <w:t xml:space="preserve"> 2024 in consultatie worden gebracht. </w:t>
            </w:r>
            <w:r w:rsidRPr="00206085" w:rsidR="008B1C2C">
              <w:t xml:space="preserve">Gelet op de benodigde vervolgstappen in het wetgevingstraject concludeer ik </w:t>
            </w:r>
            <w:r w:rsidRPr="00206085" w:rsidR="0025348C">
              <w:t>dat</w:t>
            </w:r>
            <w:r w:rsidRPr="00206085">
              <w:t xml:space="preserve"> de implementatiedeadline</w:t>
            </w:r>
            <w:r w:rsidRPr="00206085" w:rsidR="002118EC">
              <w:t xml:space="preserve"> van de Europese Commissie </w:t>
            </w:r>
            <w:r w:rsidRPr="00206085" w:rsidR="008B1C2C">
              <w:t>voor beide richtlijnen, te weten</w:t>
            </w:r>
            <w:r w:rsidRPr="00206085" w:rsidR="002118EC">
              <w:t xml:space="preserve"> </w:t>
            </w:r>
            <w:r w:rsidRPr="00206085">
              <w:t>17 oktober 2024</w:t>
            </w:r>
            <w:r w:rsidRPr="00206085" w:rsidR="008B1C2C">
              <w:t>,</w:t>
            </w:r>
            <w:r w:rsidRPr="00206085">
              <w:t xml:space="preserve"> </w:t>
            </w:r>
            <w:r w:rsidRPr="00206085" w:rsidR="00BC491B">
              <w:t>niet</w:t>
            </w:r>
            <w:r w:rsidRPr="00206085" w:rsidR="00F24762">
              <w:t xml:space="preserve"> wordt</w:t>
            </w:r>
            <w:r w:rsidRPr="00206085" w:rsidR="00BC491B">
              <w:t xml:space="preserve"> </w:t>
            </w:r>
            <w:r w:rsidRPr="00206085">
              <w:t>gehaald.</w:t>
            </w:r>
            <w:r w:rsidRPr="00206085" w:rsidR="00F517A7">
              <w:t xml:space="preserve"> </w:t>
            </w:r>
            <w:r w:rsidRPr="00206085">
              <w:t>Na verwerking van de consultatiereacties zullen de wetsvoorstellen aan de</w:t>
            </w:r>
            <w:r w:rsidRPr="00206085" w:rsidR="001311BD">
              <w:t xml:space="preserve"> Afdeling advisering van de</w:t>
            </w:r>
            <w:r w:rsidRPr="00206085">
              <w:t xml:space="preserve"> Raad van State worden voorgelegd voor advies</w:t>
            </w:r>
            <w:r w:rsidRPr="00206085" w:rsidR="005F4209">
              <w:t xml:space="preserve">. Ik streef ernaar de wetsvoorstellen vervolgens in het najaar van dit jaar aan uw Kamer aan te bieden. </w:t>
            </w:r>
          </w:p>
          <w:p w:rsidRPr="00206085" w:rsidR="00037463" w:rsidP="004B7CE2" w:rsidRDefault="00037463" w14:paraId="17358F30" w14:textId="77777777"/>
          <w:p w:rsidRPr="00206085" w:rsidR="008C2BE5" w:rsidP="008C498F" w:rsidRDefault="00E65872" w14:paraId="7CC2EA0B" w14:textId="77777777">
            <w:pPr>
              <w:ind w:right="197"/>
            </w:pPr>
            <w:r w:rsidRPr="00206085">
              <w:t xml:space="preserve">Ik hecht </w:t>
            </w:r>
            <w:r w:rsidRPr="00206085" w:rsidR="00F24762">
              <w:t>eraan te benadrukken dat de voorbereidingen van de implementatie</w:t>
            </w:r>
            <w:r w:rsidRPr="00206085" w:rsidR="008B1C2C">
              <w:t>wetten</w:t>
            </w:r>
            <w:r w:rsidRPr="00206085" w:rsidR="00F24762">
              <w:t xml:space="preserve"> samen met de vakdepartementen </w:t>
            </w:r>
            <w:r w:rsidRPr="00206085">
              <w:t xml:space="preserve">met onverminderde inspanning worden </w:t>
            </w:r>
            <w:r w:rsidRPr="00206085" w:rsidR="00F24762">
              <w:t xml:space="preserve">voortgezet. </w:t>
            </w:r>
            <w:r w:rsidRPr="00206085" w:rsidR="00E3317E">
              <w:t>Ook</w:t>
            </w:r>
            <w:r w:rsidRPr="00206085" w:rsidR="00DC2673">
              <w:t xml:space="preserve"> </w:t>
            </w:r>
            <w:r w:rsidRPr="00206085">
              <w:t>blijft het van belang dat bedrijven en organisaties niet afwachten totdat de nieuwe wet- en regelgeving volledig duidelijk is, maar nu al maatregelen nemen ter bescherming van de continuïteit van hun bedrijfsprocessen. Organisaties die nu al in actie komen beveiligen zich niet alleen tegen bestaande risico’s, maar zijn straks ook beter voorbereid op de komst van de nieuwe wetgeving</w:t>
            </w:r>
            <w:r w:rsidRPr="00206085" w:rsidR="004E6C54">
              <w:t xml:space="preserve">. Voor sommige organisaties gelden al verplichtingen op grond van huidige wet- en regelgeving, zoals de Wet beveiliging netwerk- en informatiesystemen (Wbni). </w:t>
            </w:r>
            <w:r w:rsidRPr="00206085">
              <w:t>D</w:t>
            </w:r>
            <w:r w:rsidRPr="00206085" w:rsidR="004E6C54">
              <w:t>aarnaast schrijven d</w:t>
            </w:r>
            <w:r w:rsidRPr="00206085">
              <w:t>e CER- en NIS2-richtlijn</w:t>
            </w:r>
            <w:r w:rsidRPr="00206085" w:rsidR="004E6C54">
              <w:t xml:space="preserve"> </w:t>
            </w:r>
            <w:r w:rsidRPr="00206085">
              <w:t xml:space="preserve">een aantal concrete maatregelen voor waar de bedrijven en organisaties </w:t>
            </w:r>
            <w:r w:rsidRPr="00206085">
              <w:lastRenderedPageBreak/>
              <w:t xml:space="preserve">zich nu al op kunnen voorbereiden. Zo </w:t>
            </w:r>
            <w:r w:rsidRPr="00206085" w:rsidR="00334770">
              <w:t xml:space="preserve">kunnen zij </w:t>
            </w:r>
            <w:r w:rsidRPr="00206085" w:rsidR="00E55385">
              <w:t xml:space="preserve">analyses uitvoeren naar de digitale en fysieke risico’s, het bewustzijn onder het personeel </w:t>
            </w:r>
            <w:r w:rsidRPr="00206085">
              <w:t xml:space="preserve">ten aanzien van risico’s en veiligheidsmaatregelen </w:t>
            </w:r>
            <w:r w:rsidRPr="00206085" w:rsidR="00E55385">
              <w:t xml:space="preserve">vergroten en </w:t>
            </w:r>
            <w:r w:rsidRPr="00206085">
              <w:t xml:space="preserve">de procedures bij incidenten </w:t>
            </w:r>
            <w:r w:rsidRPr="00206085" w:rsidR="00334770">
              <w:t xml:space="preserve">verder aanscherpen en aanvullen </w:t>
            </w:r>
            <w:r w:rsidRPr="00206085" w:rsidR="004E6C54">
              <w:t xml:space="preserve">door </w:t>
            </w:r>
            <w:r w:rsidRPr="00206085">
              <w:t xml:space="preserve">deze </w:t>
            </w:r>
            <w:r w:rsidRPr="00206085" w:rsidR="00CB546E">
              <w:t xml:space="preserve">te detecteren, </w:t>
            </w:r>
            <w:r w:rsidRPr="00206085" w:rsidR="00037463">
              <w:t xml:space="preserve">te </w:t>
            </w:r>
            <w:r w:rsidRPr="00206085" w:rsidR="00CB546E">
              <w:t>monitoren, op te lossen en te melden</w:t>
            </w:r>
            <w:r w:rsidRPr="00206085" w:rsidR="00334770">
              <w:t>.</w:t>
            </w:r>
            <w:r w:rsidRPr="00206085">
              <w:t xml:space="preserve"> </w:t>
            </w:r>
            <w:r w:rsidRPr="00206085" w:rsidR="00097B7D">
              <w:t>Mijn ministerie en de betrokken vakdepartementen bieden hierbij ondersteuning.</w:t>
            </w:r>
            <w:r w:rsidRPr="00206085" w:rsidR="004E6C54">
              <w:t xml:space="preserve"> Het volledige overzicht van maatregelen die bedrijven en organisaties nu al kunnen nemen om zich voor te bereiden</w:t>
            </w:r>
            <w:r w:rsidRPr="00206085" w:rsidR="00B1035E">
              <w:t xml:space="preserve">, </w:t>
            </w:r>
            <w:r w:rsidRPr="00206085" w:rsidR="009744EC">
              <w:t>evenals verdere informatie over de richtlijnen, is te vinden</w:t>
            </w:r>
            <w:r w:rsidRPr="00206085" w:rsidR="004E6C54">
              <w:t xml:space="preserve"> op de website van de NCTV.</w:t>
            </w:r>
            <w:r w:rsidRPr="00206085">
              <w:rPr>
                <w:rStyle w:val="Voetnootmarkering"/>
              </w:rPr>
              <w:footnoteReference w:id="3"/>
            </w:r>
          </w:p>
          <w:p w:rsidRPr="00206085" w:rsidR="00CB546E" w:rsidP="004B7CE2" w:rsidRDefault="00CB546E" w14:paraId="5C999E62" w14:textId="77777777"/>
          <w:p w:rsidRPr="00206085" w:rsidR="00C15678" w:rsidP="00C329BB" w:rsidRDefault="00E65872" w14:paraId="0C5DEF25" w14:textId="77777777">
            <w:r w:rsidRPr="00206085">
              <w:t xml:space="preserve">Ik </w:t>
            </w:r>
            <w:r w:rsidRPr="00206085" w:rsidR="00097B7D">
              <w:t>zal</w:t>
            </w:r>
            <w:r w:rsidRPr="00206085">
              <w:t xml:space="preserve"> uw Kamer op de hoogte</w:t>
            </w:r>
            <w:r w:rsidRPr="00206085" w:rsidR="00097B7D">
              <w:t xml:space="preserve"> houden</w:t>
            </w:r>
            <w:r w:rsidRPr="00206085">
              <w:t xml:space="preserve"> van de voortgang van de implementatie. </w:t>
            </w:r>
          </w:p>
          <w:p w:rsidRPr="00206085" w:rsidR="00C15678" w:rsidP="00C329BB" w:rsidRDefault="00C15678" w14:paraId="0AAC143E" w14:textId="77777777"/>
          <w:p w:rsidRPr="00206085" w:rsidR="000C51A3" w:rsidP="00C329BB" w:rsidRDefault="000C51A3" w14:paraId="38ED39AA" w14:textId="77777777"/>
          <w:p w:rsidRPr="00206085" w:rsidR="000C51A3" w:rsidP="00C329BB" w:rsidRDefault="00E65872" w14:paraId="7FC9FCFB" w14:textId="7FEE1F62">
            <w:r w:rsidRPr="00206085">
              <w:t>De Minister van Justitie en Veiligheid,</w:t>
            </w:r>
          </w:p>
          <w:p w:rsidRPr="00206085" w:rsidR="005E59B3" w:rsidP="00C329BB" w:rsidRDefault="005E59B3" w14:paraId="6D36ECBB" w14:textId="10E97300"/>
          <w:p w:rsidRPr="00206085" w:rsidR="005E59B3" w:rsidP="00C329BB" w:rsidRDefault="005E59B3" w14:paraId="66ED6F62" w14:textId="26EBC64B"/>
          <w:p w:rsidRPr="00206085" w:rsidR="005E59B3" w:rsidP="00C329BB" w:rsidRDefault="005E59B3" w14:paraId="3E22F341" w14:textId="7BE0D0DF"/>
          <w:p w:rsidRPr="00206085" w:rsidR="005E59B3" w:rsidP="00C329BB" w:rsidRDefault="005E59B3" w14:paraId="7AB9FB23" w14:textId="77777777"/>
          <w:p w:rsidRPr="00206085" w:rsidR="005E59B3" w:rsidP="00C329BB" w:rsidRDefault="005E59B3" w14:paraId="0535269D" w14:textId="01C908A5">
            <w:r w:rsidRPr="00206085">
              <w:t>D. Yeşilgöz-Zegerius</w:t>
            </w:r>
          </w:p>
          <w:p w:rsidRPr="00C22108" w:rsidR="00C22108" w:rsidP="00C329BB" w:rsidRDefault="00E65872" w14:paraId="02FB1B4E" w14:textId="77777777">
            <w:r w:rsidRPr="00206085">
              <w:fldChar w:fldCharType="begin"/>
            </w:r>
            <w:r w:rsidRPr="00206085">
              <w:instrText xml:space="preserve"> DOCPROPERTY aanhefdoc *\MERGEFORMAT </w:instrText>
            </w:r>
            <w:r w:rsidRPr="00206085">
              <w:fldChar w:fldCharType="end"/>
            </w:r>
          </w:p>
        </w:tc>
      </w:tr>
      <w:tr w:rsidR="00620AD2" w:rsidTr="000C51A3" w14:paraId="603EFD61" w14:textId="77777777">
        <w:trPr>
          <w:gridAfter w:val="1"/>
          <w:wAfter w:w="182" w:type="dxa"/>
        </w:trPr>
        <w:tc>
          <w:tcPr>
            <w:tcW w:w="7534" w:type="dxa"/>
            <w:gridSpan w:val="3"/>
            <w:shd w:val="clear" w:color="auto" w:fill="auto"/>
          </w:tcPr>
          <w:p w:rsidRPr="000C51A3" w:rsidR="000C51A3" w:rsidP="000C51A3" w:rsidRDefault="000C51A3" w14:paraId="6EC03F08" w14:textId="77777777">
            <w:pPr>
              <w:pStyle w:val="broodtekst"/>
            </w:pPr>
            <w:bookmarkStart w:name="cursor" w:id="9"/>
            <w:bookmarkStart w:name="ondertekening" w:id="10"/>
            <w:bookmarkStart w:name="ondertekening_bk" w:id="11"/>
            <w:bookmarkEnd w:id="9"/>
            <w:bookmarkEnd w:id="10"/>
          </w:p>
        </w:tc>
      </w:tr>
      <w:tr w:rsidR="00620AD2" w:rsidTr="000C51A3" w14:paraId="5ED1F4CF" w14:textId="77777777">
        <w:trPr>
          <w:gridAfter w:val="1"/>
          <w:wAfter w:w="182" w:type="dxa"/>
        </w:trPr>
        <w:tc>
          <w:tcPr>
            <w:tcW w:w="7534" w:type="dxa"/>
            <w:gridSpan w:val="3"/>
            <w:shd w:val="clear" w:color="auto" w:fill="auto"/>
          </w:tcPr>
          <w:p w:rsidRPr="000C51A3" w:rsidR="000C51A3" w:rsidP="000C51A3" w:rsidRDefault="000C51A3" w14:paraId="6B8B6C98" w14:textId="77777777">
            <w:pPr>
              <w:pStyle w:val="broodtekst"/>
            </w:pPr>
          </w:p>
        </w:tc>
      </w:tr>
      <w:tr w:rsidR="00620AD2" w:rsidTr="000C51A3" w14:paraId="7F314FFD" w14:textId="77777777">
        <w:trPr>
          <w:gridAfter w:val="1"/>
          <w:wAfter w:w="182" w:type="dxa"/>
        </w:trPr>
        <w:tc>
          <w:tcPr>
            <w:tcW w:w="7534" w:type="dxa"/>
            <w:gridSpan w:val="3"/>
            <w:shd w:val="clear" w:color="auto" w:fill="auto"/>
          </w:tcPr>
          <w:p w:rsidRPr="000C51A3" w:rsidR="000C51A3" w:rsidP="000C51A3" w:rsidRDefault="000C51A3" w14:paraId="37A99120" w14:textId="77777777">
            <w:pPr>
              <w:pStyle w:val="broodtekst"/>
            </w:pPr>
          </w:p>
        </w:tc>
      </w:tr>
      <w:tr w:rsidR="00620AD2" w:rsidTr="000C51A3" w14:paraId="402580FE" w14:textId="77777777">
        <w:trPr>
          <w:gridAfter w:val="1"/>
          <w:wAfter w:w="182" w:type="dxa"/>
        </w:trPr>
        <w:tc>
          <w:tcPr>
            <w:tcW w:w="7534" w:type="dxa"/>
            <w:gridSpan w:val="3"/>
            <w:shd w:val="clear" w:color="auto" w:fill="auto"/>
          </w:tcPr>
          <w:p w:rsidRPr="000C51A3" w:rsidR="000C51A3" w:rsidP="000C51A3" w:rsidRDefault="000C51A3" w14:paraId="21D6952C" w14:textId="77777777">
            <w:pPr>
              <w:pStyle w:val="broodtekst"/>
            </w:pPr>
          </w:p>
        </w:tc>
      </w:tr>
      <w:tr w:rsidR="00620AD2" w:rsidTr="000C51A3" w14:paraId="15B12991" w14:textId="77777777">
        <w:trPr>
          <w:gridAfter w:val="1"/>
          <w:wAfter w:w="182" w:type="dxa"/>
        </w:trPr>
        <w:tc>
          <w:tcPr>
            <w:tcW w:w="7534" w:type="dxa"/>
            <w:gridSpan w:val="3"/>
            <w:shd w:val="clear" w:color="auto" w:fill="auto"/>
          </w:tcPr>
          <w:p w:rsidRPr="000C51A3" w:rsidR="000C51A3" w:rsidP="000C51A3" w:rsidRDefault="000C51A3" w14:paraId="79D2591A" w14:textId="77777777">
            <w:pPr>
              <w:pStyle w:val="broodtekst"/>
            </w:pPr>
          </w:p>
        </w:tc>
      </w:tr>
      <w:tr w:rsidR="00620AD2" w:rsidTr="000C51A3" w14:paraId="786A7A5D" w14:textId="77777777">
        <w:trPr>
          <w:gridAfter w:val="1"/>
          <w:wAfter w:w="182" w:type="dxa"/>
        </w:trPr>
        <w:tc>
          <w:tcPr>
            <w:tcW w:w="4208" w:type="dxa"/>
            <w:shd w:val="clear" w:color="auto" w:fill="auto"/>
          </w:tcPr>
          <w:p w:rsidRPr="000C51A3" w:rsidR="000C51A3" w:rsidP="000C51A3" w:rsidRDefault="000C51A3" w14:paraId="4894618A" w14:textId="77777777">
            <w:pPr>
              <w:pStyle w:val="broodtekst"/>
            </w:pPr>
          </w:p>
        </w:tc>
        <w:tc>
          <w:tcPr>
            <w:tcW w:w="227" w:type="dxa"/>
            <w:shd w:val="clear" w:color="auto" w:fill="auto"/>
          </w:tcPr>
          <w:p w:rsidRPr="000C51A3" w:rsidR="000C51A3" w:rsidP="000C51A3" w:rsidRDefault="000C51A3" w14:paraId="7F6EB801" w14:textId="77777777">
            <w:pPr>
              <w:pStyle w:val="broodtekst"/>
            </w:pPr>
          </w:p>
        </w:tc>
        <w:tc>
          <w:tcPr>
            <w:tcW w:w="3099" w:type="dxa"/>
            <w:shd w:val="clear" w:color="auto" w:fill="auto"/>
          </w:tcPr>
          <w:p w:rsidRPr="000C51A3" w:rsidR="000C51A3" w:rsidP="00690E82" w:rsidRDefault="000C51A3" w14:paraId="55960C80" w14:textId="77777777">
            <w:pPr>
              <w:pStyle w:val="broodtekst"/>
            </w:pPr>
          </w:p>
        </w:tc>
      </w:tr>
      <w:bookmarkEnd w:id="11"/>
    </w:tbl>
    <w:p w:rsidR="000C51A3" w:rsidP="000C51A3" w:rsidRDefault="000C51A3" w14:paraId="27E54942" w14:textId="77777777">
      <w:pPr>
        <w:pStyle w:val="in-table"/>
      </w:pPr>
    </w:p>
    <w:sectPr w:rsidR="000C51A3"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163B1" w14:textId="77777777" w:rsidR="00C329BB" w:rsidRDefault="00E65872">
      <w:r>
        <w:separator/>
      </w:r>
    </w:p>
    <w:p w14:paraId="0E9A5E1D" w14:textId="77777777" w:rsidR="00C329BB" w:rsidRDefault="00C329BB"/>
    <w:p w14:paraId="531925B9" w14:textId="77777777" w:rsidR="00C329BB" w:rsidRDefault="00C329BB"/>
    <w:p w14:paraId="06C903FA" w14:textId="77777777" w:rsidR="00C329BB" w:rsidRDefault="00C329BB"/>
  </w:endnote>
  <w:endnote w:type="continuationSeparator" w:id="0">
    <w:p w14:paraId="64532C67" w14:textId="77777777" w:rsidR="00C329BB" w:rsidRDefault="00E65872">
      <w:r>
        <w:continuationSeparator/>
      </w:r>
    </w:p>
    <w:p w14:paraId="65DB5FA1" w14:textId="77777777" w:rsidR="00C329BB" w:rsidRDefault="00C329BB"/>
    <w:p w14:paraId="2BF09921" w14:textId="77777777" w:rsidR="00C329BB" w:rsidRDefault="00C329BB"/>
    <w:p w14:paraId="482F4135" w14:textId="77777777" w:rsidR="00C329BB" w:rsidRDefault="00C32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68532" w14:textId="77777777" w:rsidR="0089073C" w:rsidRDefault="00E6587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32A0C22E" w14:textId="77777777" w:rsidR="0089073C" w:rsidRDefault="0089073C">
    <w:pPr>
      <w:pStyle w:val="Voettekst"/>
    </w:pPr>
  </w:p>
  <w:p w14:paraId="5C463195"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620AD2" w14:paraId="05385B80" w14:textId="77777777">
      <w:trPr>
        <w:trHeight w:hRule="exact" w:val="240"/>
      </w:trPr>
      <w:tc>
        <w:tcPr>
          <w:tcW w:w="7752" w:type="dxa"/>
        </w:tcPr>
        <w:p w14:paraId="0BE8F6ED" w14:textId="77777777" w:rsidR="0089073C" w:rsidRDefault="00E65872">
          <w:pPr>
            <w:pStyle w:val="Huisstijl-Rubricering"/>
          </w:pPr>
          <w:r>
            <w:t>VERTROUWELIJK</w:t>
          </w:r>
        </w:p>
      </w:tc>
      <w:tc>
        <w:tcPr>
          <w:tcW w:w="2148" w:type="dxa"/>
        </w:tcPr>
        <w:p w14:paraId="035594C1" w14:textId="77777777" w:rsidR="0089073C" w:rsidRDefault="00E65872">
          <w:pPr>
            <w:pStyle w:val="Huisstijl-Paginanummering"/>
          </w:pPr>
          <w:r>
            <w:rPr>
              <w:rStyle w:val="Huisstijl-GegevenCharChar"/>
            </w:rPr>
            <w:t>Pagina  van</w:t>
          </w:r>
          <w:r>
            <w:t xml:space="preserve"> </w:t>
          </w:r>
          <w:r w:rsidR="00206085">
            <w:fldChar w:fldCharType="begin"/>
          </w:r>
          <w:r w:rsidR="00206085">
            <w:instrText xml:space="preserve"> NUMPAGES   \* MERGEFORMAT </w:instrText>
          </w:r>
          <w:r w:rsidR="00206085">
            <w:fldChar w:fldCharType="separate"/>
          </w:r>
          <w:r>
            <w:t>1</w:t>
          </w:r>
          <w:r w:rsidR="00206085">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620AD2" w14:paraId="2DF48220" w14:textId="77777777">
      <w:trPr>
        <w:trHeight w:hRule="exact" w:val="240"/>
      </w:trPr>
      <w:tc>
        <w:tcPr>
          <w:tcW w:w="7752" w:type="dxa"/>
        </w:tcPr>
        <w:bookmarkStart w:id="5" w:name="bmVoettekst1"/>
        <w:p w14:paraId="4B958D3E" w14:textId="77777777" w:rsidR="0089073C" w:rsidRDefault="00E65872">
          <w:pPr>
            <w:pStyle w:val="Huisstijl-Rubricering"/>
          </w:pPr>
          <w:r>
            <w:fldChar w:fldCharType="begin"/>
          </w:r>
          <w:r>
            <w:instrText xml:space="preserve"> DOCPROPERTY rubricering </w:instrText>
          </w:r>
          <w:r>
            <w:fldChar w:fldCharType="end"/>
          </w:r>
        </w:p>
      </w:tc>
      <w:tc>
        <w:tcPr>
          <w:tcW w:w="2148" w:type="dxa"/>
        </w:tcPr>
        <w:p w14:paraId="43584FA7" w14:textId="77777777" w:rsidR="0089073C" w:rsidRDefault="00E6587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0C51A3">
            <w:fldChar w:fldCharType="begin"/>
          </w:r>
          <w:r>
            <w:instrText xml:space="preserve"> SECTIONPAGES   \* MERGEFORMAT </w:instrText>
          </w:r>
          <w:r w:rsidR="000C51A3">
            <w:fldChar w:fldCharType="separate"/>
          </w:r>
          <w:r w:rsidR="000C51A3">
            <w:t>1</w:t>
          </w:r>
          <w:r w:rsidR="000C51A3">
            <w:fldChar w:fldCharType="end"/>
          </w:r>
        </w:p>
      </w:tc>
    </w:tr>
    <w:bookmarkEnd w:id="5"/>
  </w:tbl>
  <w:p w14:paraId="1830D1E8"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620AD2" w14:paraId="1399F8AD" w14:textId="77777777">
      <w:trPr>
        <w:cantSplit/>
        <w:trHeight w:hRule="exact" w:val="23"/>
      </w:trPr>
      <w:tc>
        <w:tcPr>
          <w:tcW w:w="7771" w:type="dxa"/>
        </w:tcPr>
        <w:p w14:paraId="2CCB5A23" w14:textId="77777777" w:rsidR="0089073C" w:rsidRDefault="0089073C">
          <w:pPr>
            <w:pStyle w:val="Huisstijl-Rubricering"/>
          </w:pPr>
        </w:p>
      </w:tc>
      <w:tc>
        <w:tcPr>
          <w:tcW w:w="2123" w:type="dxa"/>
        </w:tcPr>
        <w:p w14:paraId="104DCC0E" w14:textId="77777777" w:rsidR="0089073C" w:rsidRDefault="0089073C">
          <w:pPr>
            <w:pStyle w:val="Huisstijl-Paginanummering"/>
          </w:pPr>
        </w:p>
      </w:tc>
    </w:tr>
    <w:tr w:rsidR="00620AD2" w14:paraId="29A6A202" w14:textId="77777777">
      <w:trPr>
        <w:cantSplit/>
        <w:trHeight w:hRule="exact" w:val="216"/>
      </w:trPr>
      <w:tc>
        <w:tcPr>
          <w:tcW w:w="7771" w:type="dxa"/>
        </w:tcPr>
        <w:p w14:paraId="14E5B22F" w14:textId="77777777" w:rsidR="0089073C" w:rsidRDefault="00E65872">
          <w:pPr>
            <w:pStyle w:val="Huisstijl-Rubricering"/>
          </w:pPr>
          <w:r>
            <w:fldChar w:fldCharType="begin"/>
          </w:r>
          <w:r>
            <w:instrText xml:space="preserve"> DOCPROPERTY Rubricering </w:instrText>
          </w:r>
          <w:r>
            <w:fldChar w:fldCharType="end"/>
          </w:r>
        </w:p>
      </w:tc>
      <w:tc>
        <w:tcPr>
          <w:tcW w:w="2123" w:type="dxa"/>
        </w:tcPr>
        <w:p w14:paraId="4AF1646E" w14:textId="1E23EDD6" w:rsidR="0089073C" w:rsidRDefault="00E65872">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9327FD">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206085">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206085">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78A1FC97"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620AD2" w14:paraId="7A1145CA" w14:textId="77777777">
      <w:trPr>
        <w:cantSplit/>
        <w:trHeight w:hRule="exact" w:val="170"/>
      </w:trPr>
      <w:tc>
        <w:tcPr>
          <w:tcW w:w="7769" w:type="dxa"/>
        </w:tcPr>
        <w:p w14:paraId="4C6DCF48" w14:textId="77777777" w:rsidR="0089073C" w:rsidRDefault="0089073C">
          <w:pPr>
            <w:pStyle w:val="Huisstijl-Rubricering"/>
          </w:pPr>
        </w:p>
      </w:tc>
      <w:tc>
        <w:tcPr>
          <w:tcW w:w="2123" w:type="dxa"/>
        </w:tcPr>
        <w:p w14:paraId="2BB5D74C" w14:textId="77777777" w:rsidR="0089073C" w:rsidRDefault="0089073C">
          <w:pPr>
            <w:pStyle w:val="Huisstijl-Paginanummering"/>
          </w:pPr>
        </w:p>
      </w:tc>
    </w:tr>
    <w:tr w:rsidR="00620AD2" w14:paraId="5B2FAB3A" w14:textId="77777777">
      <w:trPr>
        <w:cantSplit/>
        <w:trHeight w:hRule="exact" w:val="289"/>
      </w:trPr>
      <w:tc>
        <w:tcPr>
          <w:tcW w:w="7769" w:type="dxa"/>
        </w:tcPr>
        <w:p w14:paraId="03AF45A8" w14:textId="77777777" w:rsidR="0089073C" w:rsidRDefault="00E65872">
          <w:pPr>
            <w:pStyle w:val="Huisstijl-Rubricering"/>
          </w:pPr>
          <w:r>
            <w:fldChar w:fldCharType="begin"/>
          </w:r>
          <w:r>
            <w:instrText xml:space="preserve"> DOCPROPERTY Rubricering </w:instrText>
          </w:r>
          <w:r>
            <w:fldChar w:fldCharType="end"/>
          </w:r>
        </w:p>
      </w:tc>
      <w:tc>
        <w:tcPr>
          <w:tcW w:w="2123" w:type="dxa"/>
        </w:tcPr>
        <w:p w14:paraId="760FE777" w14:textId="647D9CA7" w:rsidR="0089073C" w:rsidRDefault="00E6587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FD188D">
            <w:fldChar w:fldCharType="begin"/>
          </w:r>
          <w:r>
            <w:instrText xml:space="preserve"> SECTIONPAGES   \* MERGEFORMAT </w:instrText>
          </w:r>
          <w:r w:rsidR="00FD188D">
            <w:fldChar w:fldCharType="separate"/>
          </w:r>
          <w:r w:rsidR="00206085">
            <w:t>2</w:t>
          </w:r>
          <w:r w:rsidR="00FD188D">
            <w:fldChar w:fldCharType="end"/>
          </w:r>
        </w:p>
      </w:tc>
    </w:tr>
    <w:tr w:rsidR="00620AD2" w14:paraId="16930C63" w14:textId="77777777">
      <w:trPr>
        <w:cantSplit/>
        <w:trHeight w:hRule="exact" w:val="23"/>
      </w:trPr>
      <w:tc>
        <w:tcPr>
          <w:tcW w:w="7769" w:type="dxa"/>
        </w:tcPr>
        <w:p w14:paraId="4EC8B898" w14:textId="77777777" w:rsidR="0089073C" w:rsidRDefault="0089073C">
          <w:pPr>
            <w:pStyle w:val="Huisstijl-Rubricering"/>
          </w:pPr>
        </w:p>
      </w:tc>
      <w:tc>
        <w:tcPr>
          <w:tcW w:w="2123" w:type="dxa"/>
        </w:tcPr>
        <w:p w14:paraId="055E87F9" w14:textId="77777777" w:rsidR="0089073C" w:rsidRDefault="0089073C">
          <w:pPr>
            <w:pStyle w:val="Huisstijl-Paginanummering"/>
            <w:rPr>
              <w:rStyle w:val="Huisstijl-GegevenCharChar"/>
            </w:rPr>
          </w:pPr>
        </w:p>
      </w:tc>
    </w:tr>
  </w:tbl>
  <w:p w14:paraId="224EFCE5"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2FB3" w14:textId="77777777" w:rsidR="00C329BB" w:rsidRDefault="00E65872">
      <w:r>
        <w:separator/>
      </w:r>
    </w:p>
  </w:footnote>
  <w:footnote w:type="continuationSeparator" w:id="0">
    <w:p w14:paraId="07253F54" w14:textId="77777777" w:rsidR="00C329BB" w:rsidRDefault="00E65872">
      <w:r>
        <w:continuationSeparator/>
      </w:r>
    </w:p>
  </w:footnote>
  <w:footnote w:id="1">
    <w:p w14:paraId="43713EE5" w14:textId="77777777" w:rsidR="004B7CE2" w:rsidRPr="00820405" w:rsidRDefault="00E65872" w:rsidP="00402500">
      <w:pPr>
        <w:pStyle w:val="Voetnoottekst"/>
        <w:rPr>
          <w:lang w:val="fr-FR"/>
        </w:rPr>
      </w:pPr>
      <w:r>
        <w:rPr>
          <w:rStyle w:val="Voetnootmarkering"/>
        </w:rPr>
        <w:footnoteRef/>
      </w:r>
      <w:r w:rsidRPr="00820405">
        <w:rPr>
          <w:lang w:val="fr-FR"/>
        </w:rPr>
        <w:t xml:space="preserve"> </w:t>
      </w:r>
      <w:hyperlink r:id="rId1" w:history="1">
        <w:r w:rsidR="00402500" w:rsidRPr="00820405">
          <w:rPr>
            <w:rStyle w:val="Hyperlink"/>
            <w:lang w:val="fr-FR"/>
          </w:rPr>
          <w:t>Directive - 2022/2555 - EN - NIS2 - EUR-Lex</w:t>
        </w:r>
      </w:hyperlink>
      <w:r w:rsidR="00402500" w:rsidRPr="00820405">
        <w:rPr>
          <w:lang w:val="fr-FR"/>
        </w:rPr>
        <w:t xml:space="preserve"> </w:t>
      </w:r>
    </w:p>
  </w:footnote>
  <w:footnote w:id="2">
    <w:p w14:paraId="6A86AD48" w14:textId="77777777" w:rsidR="00402500" w:rsidRPr="00820405" w:rsidRDefault="00E65872">
      <w:pPr>
        <w:pStyle w:val="Voetnoottekst"/>
        <w:rPr>
          <w:lang w:val="fr-FR"/>
        </w:rPr>
      </w:pPr>
      <w:r>
        <w:rPr>
          <w:rStyle w:val="Voetnootmarkering"/>
        </w:rPr>
        <w:footnoteRef/>
      </w:r>
      <w:r w:rsidRPr="00820405">
        <w:rPr>
          <w:lang w:val="fr-FR"/>
        </w:rPr>
        <w:t xml:space="preserve"> </w:t>
      </w:r>
      <w:hyperlink r:id="rId2" w:history="1">
        <w:r w:rsidRPr="00820405">
          <w:rPr>
            <w:rStyle w:val="Hyperlink"/>
            <w:lang w:val="fr-FR"/>
          </w:rPr>
          <w:t>Directive - 2022/2557 - EN - CER - EUR-Lex</w:t>
        </w:r>
      </w:hyperlink>
    </w:p>
  </w:footnote>
  <w:footnote w:id="3">
    <w:p w14:paraId="4BB2980B" w14:textId="77777777" w:rsidR="004E6C54" w:rsidRPr="00820405" w:rsidRDefault="00E65872" w:rsidP="004E6C54">
      <w:pPr>
        <w:pStyle w:val="Voetnoottekst"/>
        <w:rPr>
          <w:lang w:val="fr-FR"/>
        </w:rPr>
      </w:pPr>
      <w:r>
        <w:rPr>
          <w:rStyle w:val="Voetnootmarkering"/>
        </w:rPr>
        <w:footnoteRef/>
      </w:r>
      <w:r w:rsidRPr="00820405">
        <w:rPr>
          <w:lang w:val="fr-FR"/>
        </w:rPr>
        <w:t xml:space="preserve"> </w:t>
      </w:r>
      <w:hyperlink r:id="rId3" w:history="1">
        <w:r w:rsidRPr="00820405">
          <w:rPr>
            <w:rStyle w:val="Hyperlink"/>
            <w:lang w:val="fr-FR"/>
          </w:rPr>
          <w:t>https://www.nctv.nl/onderwerpen/cer--en-nis2-richtlijnen/hoe-kan-uw-organisatie-zich-voorbereiden-op-de-cer--en-nis2-richtlijnen</w:t>
        </w:r>
      </w:hyperlink>
      <w:r w:rsidRPr="00820405">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D8978" w14:textId="77777777" w:rsidR="0089073C" w:rsidRDefault="0089073C">
    <w:pPr>
      <w:pStyle w:val="Koptekst"/>
    </w:pPr>
  </w:p>
  <w:p w14:paraId="11AF8A2D"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9FEC1" w14:textId="77777777" w:rsidR="0089073C" w:rsidRDefault="00E65872">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4384" behindDoc="0" locked="1" layoutInCell="1" allowOverlap="1" wp14:anchorId="15690E47" wp14:editId="7A556972">
              <wp:simplePos x="0" y="0"/>
              <wp:positionH relativeFrom="page">
                <wp:posOffset>5854065</wp:posOffset>
              </wp:positionH>
              <wp:positionV relativeFrom="page">
                <wp:posOffset>1901190</wp:posOffset>
              </wp:positionV>
              <wp:extent cx="1492250" cy="7622540"/>
              <wp:effectExtent l="0" t="0" r="0" b="1270"/>
              <wp:wrapNone/>
              <wp:docPr id="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620AD2" w14:paraId="182459A9" w14:textId="77777777">
                            <w:trPr>
                              <w:cantSplit/>
                            </w:trPr>
                            <w:tc>
                              <w:tcPr>
                                <w:tcW w:w="2007" w:type="dxa"/>
                              </w:tcPr>
                              <w:p w14:paraId="51EB4A4E" w14:textId="5E9E10BA" w:rsidR="0089073C" w:rsidRDefault="00E65872">
                                <w:pPr>
                                  <w:pStyle w:val="referentiegegevparagraaf"/>
                                  <w:rPr>
                                    <w:rStyle w:val="directieregel"/>
                                  </w:rPr>
                                </w:pPr>
                                <w:r>
                                  <w:rPr>
                                    <w:b/>
                                  </w:rPr>
                                  <w:fldChar w:fldCharType="begin"/>
                                </w:r>
                                <w:r w:rsidRPr="00820405">
                                  <w:rPr>
                                    <w:b/>
                                  </w:rPr>
                                  <w:instrText xml:space="preserve"> DOCPROPERTY directoraatvolg</w:instrText>
                                </w:r>
                                <w:r>
                                  <w:rPr>
                                    <w:b/>
                                  </w:rPr>
                                  <w:fldChar w:fldCharType="separate"/>
                                </w:r>
                                <w:r w:rsidRPr="00820405">
                                  <w:rPr>
                                    <w:b/>
                                  </w:rPr>
                                  <w:t>Minister van Justitie en Veiligheid</w:t>
                                </w:r>
                                <w:r>
                                  <w:rPr>
                                    <w:b/>
                                  </w:rPr>
                                  <w:fldChar w:fldCharType="end"/>
                                </w:r>
                                <w:r>
                                  <w:fldChar w:fldCharType="begin"/>
                                </w:r>
                                <w:r w:rsidRPr="00820405">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p>
                              <w:p w14:paraId="4A8E64E8" w14:textId="4FAA74B9" w:rsidR="00620AD2" w:rsidRDefault="00E65872">
                                <w:pPr>
                                  <w:pStyle w:val="referentiegegevparagraaf"/>
                                  <w:rPr>
                                    <w:rStyle w:val="directieregel"/>
                                    <w:b w:val="0"/>
                                    <w:bCs/>
                                  </w:rPr>
                                </w:pPr>
                                <w:r>
                                  <w:rPr>
                                    <w:rStyle w:val="directieregel"/>
                                  </w:rPr>
                                  <w:fldChar w:fldCharType="end"/>
                                </w:r>
                                <w:r>
                                  <w:rPr>
                                    <w:rStyle w:val="directieregel"/>
                                    <w:b w:val="0"/>
                                    <w:bCs/>
                                  </w:rPr>
                                  <w:t>Sector Staats- en Bestuursrecht</w:t>
                                </w:r>
                              </w:p>
                              <w:p w14:paraId="594CACDB" w14:textId="5F98B6DD" w:rsidR="00206085" w:rsidRDefault="00206085">
                                <w:pPr>
                                  <w:pStyle w:val="referentiegegevparagraaf"/>
                                  <w:rPr>
                                    <w:rStyle w:val="directieregel"/>
                                    <w:b w:val="0"/>
                                    <w:bCs/>
                                  </w:rPr>
                                </w:pPr>
                              </w:p>
                              <w:p w14:paraId="00AC336D" w14:textId="77777777" w:rsidR="00206085" w:rsidRPr="00E65872" w:rsidRDefault="00206085">
                                <w:pPr>
                                  <w:pStyle w:val="referentiegegevparagraaf"/>
                                  <w:rPr>
                                    <w:rStyle w:val="directieregel"/>
                                    <w:b w:val="0"/>
                                    <w:bCs/>
                                  </w:rPr>
                                </w:pPr>
                              </w:p>
                              <w:p w14:paraId="53C1F890" w14:textId="77777777" w:rsidR="0089073C" w:rsidRDefault="00E65872">
                                <w:pPr>
                                  <w:pStyle w:val="referentiegegevens"/>
                                  <w:rPr>
                                    <w:b/>
                                  </w:rPr>
                                </w:pPr>
                                <w:r>
                                  <w:rPr>
                                    <w:b/>
                                  </w:rPr>
                                  <w:fldChar w:fldCharType="begin"/>
                                </w:r>
                                <w:r w:rsidRPr="00820405">
                                  <w:rPr>
                                    <w:b/>
                                  </w:rPr>
                                  <w:instrText xml:space="preserve"> DOCPROPERTY _datum </w:instrText>
                                </w:r>
                                <w:r>
                                  <w:rPr>
                                    <w:b/>
                                  </w:rPr>
                                  <w:fldChar w:fldCharType="separate"/>
                                </w:r>
                                <w:r w:rsidRPr="00820405">
                                  <w:rPr>
                                    <w:b/>
                                  </w:rPr>
                                  <w:t>Datum</w:t>
                                </w:r>
                                <w:r>
                                  <w:rPr>
                                    <w:b/>
                                  </w:rPr>
                                  <w:fldChar w:fldCharType="end"/>
                                </w:r>
                              </w:p>
                              <w:p w14:paraId="536995D0" w14:textId="3256EF58" w:rsidR="0089073C" w:rsidRDefault="00206085">
                                <w:pPr>
                                  <w:pStyle w:val="referentiegegevens"/>
                                </w:pPr>
                                <w:r>
                                  <w:t>31</w:t>
                                </w:r>
                                <w:r w:rsidR="00E65872">
                                  <w:t xml:space="preserve"> januari 202</w:t>
                                </w:r>
                                <w:r>
                                  <w:t>4</w:t>
                                </w:r>
                              </w:p>
                              <w:p w14:paraId="14A51CD0" w14:textId="77777777" w:rsidR="0089073C" w:rsidRDefault="0089073C">
                                <w:pPr>
                                  <w:pStyle w:val="witregel1"/>
                                </w:pPr>
                              </w:p>
                              <w:p w14:paraId="1D4F1FA5" w14:textId="77777777" w:rsidR="0089073C" w:rsidRDefault="00E65872">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7F7DCCBD" w14:textId="77777777" w:rsidR="00620AD2" w:rsidRDefault="00E65872">
                                <w:pPr>
                                  <w:pStyle w:val="referentiegegevens"/>
                                  <w:rPr>
                                    <w:b/>
                                  </w:rPr>
                                </w:pPr>
                                <w:r>
                                  <w:rPr>
                                    <w:b/>
                                  </w:rPr>
                                  <w:fldChar w:fldCharType="end"/>
                                </w:r>
                                <w:r>
                                  <w:fldChar w:fldCharType="begin"/>
                                </w:r>
                                <w:r w:rsidR="000129A4">
                                  <w:instrText xml:space="preserve"> DOCPROPERTY onskenmerk </w:instrText>
                                </w:r>
                                <w:r>
                                  <w:fldChar w:fldCharType="separate"/>
                                </w:r>
                                <w:r w:rsidR="000129A4">
                                  <w:t>5193678</w:t>
                                </w:r>
                                <w:r>
                                  <w:fldChar w:fldCharType="end"/>
                                </w:r>
                              </w:p>
                            </w:tc>
                          </w:tr>
                          <w:tr w:rsidR="00620AD2" w14:paraId="5054B256" w14:textId="77777777">
                            <w:trPr>
                              <w:cantSplit/>
                            </w:trPr>
                            <w:tc>
                              <w:tcPr>
                                <w:tcW w:w="2007" w:type="dxa"/>
                              </w:tcPr>
                              <w:p w14:paraId="45906A8E" w14:textId="77777777" w:rsidR="0089073C" w:rsidRDefault="0089073C">
                                <w:pPr>
                                  <w:pStyle w:val="clausule"/>
                                </w:pPr>
                              </w:p>
                            </w:tc>
                          </w:tr>
                        </w:tbl>
                        <w:p w14:paraId="5C4A6488" w14:textId="77777777" w:rsidR="0089073C" w:rsidRDefault="0089073C"/>
                        <w:p w14:paraId="2CFFA6B3" w14:textId="77777777" w:rsidR="0089073C" w:rsidRDefault="0089073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15690E47"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620AD2" w14:paraId="182459A9" w14:textId="77777777">
                      <w:trPr>
                        <w:cantSplit/>
                      </w:trPr>
                      <w:tc>
                        <w:tcPr>
                          <w:tcW w:w="2007" w:type="dxa"/>
                        </w:tcPr>
                        <w:p w14:paraId="51EB4A4E" w14:textId="5E9E10BA" w:rsidR="0089073C" w:rsidRDefault="00E65872">
                          <w:pPr>
                            <w:pStyle w:val="referentiegegevparagraaf"/>
                            <w:rPr>
                              <w:rStyle w:val="directieregel"/>
                            </w:rPr>
                          </w:pPr>
                          <w:r>
                            <w:rPr>
                              <w:b/>
                            </w:rPr>
                            <w:fldChar w:fldCharType="begin"/>
                          </w:r>
                          <w:r w:rsidRPr="00820405">
                            <w:rPr>
                              <w:b/>
                            </w:rPr>
                            <w:instrText xml:space="preserve"> DOCPROPERTY directoraatvolg</w:instrText>
                          </w:r>
                          <w:r>
                            <w:rPr>
                              <w:b/>
                            </w:rPr>
                            <w:fldChar w:fldCharType="separate"/>
                          </w:r>
                          <w:r w:rsidRPr="00820405">
                            <w:rPr>
                              <w:b/>
                            </w:rPr>
                            <w:t>Minister van Justitie en Veiligheid</w:t>
                          </w:r>
                          <w:r>
                            <w:rPr>
                              <w:b/>
                            </w:rPr>
                            <w:fldChar w:fldCharType="end"/>
                          </w:r>
                          <w:r>
                            <w:fldChar w:fldCharType="begin"/>
                          </w:r>
                          <w:r w:rsidRPr="00820405">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p>
                        <w:p w14:paraId="4A8E64E8" w14:textId="4FAA74B9" w:rsidR="00620AD2" w:rsidRDefault="00E65872">
                          <w:pPr>
                            <w:pStyle w:val="referentiegegevparagraaf"/>
                            <w:rPr>
                              <w:rStyle w:val="directieregel"/>
                              <w:b w:val="0"/>
                              <w:bCs/>
                            </w:rPr>
                          </w:pPr>
                          <w:r>
                            <w:rPr>
                              <w:rStyle w:val="directieregel"/>
                            </w:rPr>
                            <w:fldChar w:fldCharType="end"/>
                          </w:r>
                          <w:r>
                            <w:rPr>
                              <w:rStyle w:val="directieregel"/>
                              <w:b w:val="0"/>
                              <w:bCs/>
                            </w:rPr>
                            <w:t>Sector Staats- en Bestuursrecht</w:t>
                          </w:r>
                        </w:p>
                        <w:p w14:paraId="594CACDB" w14:textId="5F98B6DD" w:rsidR="00206085" w:rsidRDefault="00206085">
                          <w:pPr>
                            <w:pStyle w:val="referentiegegevparagraaf"/>
                            <w:rPr>
                              <w:rStyle w:val="directieregel"/>
                              <w:b w:val="0"/>
                              <w:bCs/>
                            </w:rPr>
                          </w:pPr>
                        </w:p>
                        <w:p w14:paraId="00AC336D" w14:textId="77777777" w:rsidR="00206085" w:rsidRPr="00E65872" w:rsidRDefault="00206085">
                          <w:pPr>
                            <w:pStyle w:val="referentiegegevparagraaf"/>
                            <w:rPr>
                              <w:rStyle w:val="directieregel"/>
                              <w:b w:val="0"/>
                              <w:bCs/>
                            </w:rPr>
                          </w:pPr>
                        </w:p>
                        <w:p w14:paraId="53C1F890" w14:textId="77777777" w:rsidR="0089073C" w:rsidRDefault="00E65872">
                          <w:pPr>
                            <w:pStyle w:val="referentiegegevens"/>
                            <w:rPr>
                              <w:b/>
                            </w:rPr>
                          </w:pPr>
                          <w:r>
                            <w:rPr>
                              <w:b/>
                            </w:rPr>
                            <w:fldChar w:fldCharType="begin"/>
                          </w:r>
                          <w:r w:rsidRPr="00820405">
                            <w:rPr>
                              <w:b/>
                            </w:rPr>
                            <w:instrText xml:space="preserve"> DOCPROPERTY _datum </w:instrText>
                          </w:r>
                          <w:r>
                            <w:rPr>
                              <w:b/>
                            </w:rPr>
                            <w:fldChar w:fldCharType="separate"/>
                          </w:r>
                          <w:r w:rsidRPr="00820405">
                            <w:rPr>
                              <w:b/>
                            </w:rPr>
                            <w:t>Datum</w:t>
                          </w:r>
                          <w:r>
                            <w:rPr>
                              <w:b/>
                            </w:rPr>
                            <w:fldChar w:fldCharType="end"/>
                          </w:r>
                        </w:p>
                        <w:p w14:paraId="536995D0" w14:textId="3256EF58" w:rsidR="0089073C" w:rsidRDefault="00206085">
                          <w:pPr>
                            <w:pStyle w:val="referentiegegevens"/>
                          </w:pPr>
                          <w:r>
                            <w:t>31</w:t>
                          </w:r>
                          <w:r w:rsidR="00E65872">
                            <w:t xml:space="preserve"> januari 202</w:t>
                          </w:r>
                          <w:r>
                            <w:t>4</w:t>
                          </w:r>
                        </w:p>
                        <w:p w14:paraId="14A51CD0" w14:textId="77777777" w:rsidR="0089073C" w:rsidRDefault="0089073C">
                          <w:pPr>
                            <w:pStyle w:val="witregel1"/>
                          </w:pPr>
                        </w:p>
                        <w:p w14:paraId="1D4F1FA5" w14:textId="77777777" w:rsidR="0089073C" w:rsidRDefault="00E65872">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7F7DCCBD" w14:textId="77777777" w:rsidR="00620AD2" w:rsidRDefault="00E65872">
                          <w:pPr>
                            <w:pStyle w:val="referentiegegevens"/>
                            <w:rPr>
                              <w:b/>
                            </w:rPr>
                          </w:pPr>
                          <w:r>
                            <w:rPr>
                              <w:b/>
                            </w:rPr>
                            <w:fldChar w:fldCharType="end"/>
                          </w:r>
                          <w:r>
                            <w:fldChar w:fldCharType="begin"/>
                          </w:r>
                          <w:r w:rsidR="000129A4">
                            <w:instrText xml:space="preserve"> DOCPROPERTY onskenmerk </w:instrText>
                          </w:r>
                          <w:r>
                            <w:fldChar w:fldCharType="separate"/>
                          </w:r>
                          <w:r w:rsidR="000129A4">
                            <w:t>5193678</w:t>
                          </w:r>
                          <w:r>
                            <w:fldChar w:fldCharType="end"/>
                          </w:r>
                        </w:p>
                      </w:tc>
                    </w:tr>
                    <w:tr w:rsidR="00620AD2" w14:paraId="5054B256" w14:textId="77777777">
                      <w:trPr>
                        <w:cantSplit/>
                      </w:trPr>
                      <w:tc>
                        <w:tcPr>
                          <w:tcW w:w="2007" w:type="dxa"/>
                        </w:tcPr>
                        <w:p w14:paraId="45906A8E" w14:textId="77777777" w:rsidR="0089073C" w:rsidRDefault="0089073C">
                          <w:pPr>
                            <w:pStyle w:val="clausule"/>
                          </w:pPr>
                        </w:p>
                      </w:tc>
                    </w:tr>
                  </w:tbl>
                  <w:p w14:paraId="5C4A6488" w14:textId="77777777" w:rsidR="0089073C" w:rsidRDefault="0089073C"/>
                  <w:p w14:paraId="2CFFA6B3"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9264" behindDoc="0" locked="1" layoutInCell="1" allowOverlap="1" wp14:anchorId="39BB2856" wp14:editId="5C0730B3">
              <wp:simplePos x="0" y="0"/>
              <wp:positionH relativeFrom="page">
                <wp:posOffset>1008380</wp:posOffset>
              </wp:positionH>
              <wp:positionV relativeFrom="page">
                <wp:posOffset>1955165</wp:posOffset>
              </wp:positionV>
              <wp:extent cx="4759325" cy="113665"/>
              <wp:effectExtent l="0" t="2540" r="4445" b="0"/>
              <wp:wrapNone/>
              <wp:docPr id="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4656001E" w14:textId="77777777" w:rsidR="0089073C" w:rsidRDefault="00E65872">
                          <w:pPr>
                            <w:pStyle w:val="Huisstijl-Rubricering"/>
                          </w:pPr>
                          <w:r>
                            <w:fldChar w:fldCharType="begin"/>
                          </w:r>
                          <w:r>
                            <w:instrText xml:space="preserve"> DOCPROPERTY rubricering </w:instrText>
                          </w:r>
                          <w:r>
                            <w:fldChar w:fldCharType="end"/>
                          </w:r>
                        </w:p>
                        <w:p w14:paraId="6C4F4F4B"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9BB2856" id="Text Box 97" o:spid="_x0000_s1028" type="#_x0000_t202" style="position:absolute;margin-left:79.4pt;margin-top:153.95pt;width:374.75pt;height:8.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zF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7xLsxXMCAADtBAAADgAAAAAA&#10;AAAAAAAAAAAuAgAAZHJzL2Uyb0RvYy54bWxQSwECLQAUAAYACAAAACEABSX51t8AAAALAQAADwAA&#10;AAAAAAAAAAAAAADNBAAAZHJzL2Rvd25yZXYueG1sUEsFBgAAAAAEAAQA8wAAANkFAAAAAA==&#10;" stroked="f" strokecolor="fuchsia">
              <v:textbox inset="0,0,0,0">
                <w:txbxContent>
                  <w:p w14:paraId="4656001E" w14:textId="77777777" w:rsidR="0089073C" w:rsidRDefault="00E65872">
                    <w:pPr>
                      <w:pStyle w:val="Huisstijl-Rubricering"/>
                    </w:pPr>
                    <w:r>
                      <w:fldChar w:fldCharType="begin"/>
                    </w:r>
                    <w:r>
                      <w:instrText xml:space="preserve"> DOCPROPERTY rubricering </w:instrText>
                    </w:r>
                    <w:r>
                      <w:fldChar w:fldCharType="end"/>
                    </w:r>
                  </w:p>
                  <w:p w14:paraId="6C4F4F4B"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620AD2" w14:paraId="06DD7D40" w14:textId="77777777">
      <w:trPr>
        <w:trHeight w:hRule="exact" w:val="136"/>
      </w:trPr>
      <w:tc>
        <w:tcPr>
          <w:tcW w:w="7520" w:type="dxa"/>
        </w:tcPr>
        <w:p w14:paraId="110EFBC5" w14:textId="77777777" w:rsidR="0089073C" w:rsidRDefault="0089073C">
          <w:pPr>
            <w:spacing w:line="240" w:lineRule="auto"/>
            <w:rPr>
              <w:sz w:val="12"/>
              <w:szCs w:val="12"/>
            </w:rPr>
          </w:pPr>
        </w:p>
      </w:tc>
    </w:tr>
  </w:tbl>
  <w:p w14:paraId="7A1ABB11" w14:textId="77777777" w:rsidR="0089073C" w:rsidRDefault="00E65872">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EFE18" w14:textId="2FBCF0E1" w:rsidR="0089073C" w:rsidRDefault="00E65872">
    <w:pPr>
      <w:pStyle w:val="Koptekst"/>
      <w:rPr>
        <w:color w:val="FFFFFF"/>
      </w:rPr>
    </w:pPr>
    <w:bookmarkStart w:id="6" w:name="bmpagina"/>
    <w:r>
      <w:rPr>
        <w:noProof/>
        <w:sz w:val="20"/>
      </w:rPr>
      <w:drawing>
        <wp:anchor distT="0" distB="0" distL="114300" distR="114300" simplePos="0" relativeHeight="251662336" behindDoc="1" locked="1" layoutInCell="1" allowOverlap="1" wp14:anchorId="1AE42B7B" wp14:editId="3E64C91A">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hidden="1"/>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CB546E">
      <w:rPr>
        <w:noProof/>
        <w:color w:val="FFFFFF"/>
        <w:sz w:val="20"/>
      </w:rPr>
      <mc:AlternateContent>
        <mc:Choice Requires="wps">
          <w:drawing>
            <wp:anchor distT="0" distB="0" distL="114300" distR="114300" simplePos="0" relativeHeight="251658240" behindDoc="0" locked="1" layoutInCell="1" allowOverlap="1" wp14:anchorId="3B83C5DC" wp14:editId="494A537A">
              <wp:simplePos x="0" y="0"/>
              <wp:positionH relativeFrom="page">
                <wp:posOffset>894080</wp:posOffset>
              </wp:positionH>
              <wp:positionV relativeFrom="page">
                <wp:posOffset>1408430</wp:posOffset>
              </wp:positionV>
              <wp:extent cx="342900" cy="277495"/>
              <wp:effectExtent l="0" t="0" r="1270"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1312"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9327FD">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D1F98"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399A50C6">
      <w:start w:val="1"/>
      <w:numFmt w:val="lowerLetter"/>
      <w:pStyle w:val="lijst-alphabet"/>
      <w:lvlText w:val="%1."/>
      <w:lvlJc w:val="left"/>
      <w:pPr>
        <w:tabs>
          <w:tab w:val="num" w:pos="1040"/>
        </w:tabs>
        <w:ind w:left="1021" w:hanging="341"/>
      </w:pPr>
      <w:rPr>
        <w:rFonts w:hint="default"/>
      </w:rPr>
    </w:lvl>
    <w:lvl w:ilvl="1" w:tplc="3740E878" w:tentative="1">
      <w:start w:val="1"/>
      <w:numFmt w:val="lowerLetter"/>
      <w:lvlText w:val="%2."/>
      <w:lvlJc w:val="left"/>
      <w:pPr>
        <w:tabs>
          <w:tab w:val="num" w:pos="1440"/>
        </w:tabs>
        <w:ind w:left="1440" w:hanging="360"/>
      </w:pPr>
    </w:lvl>
    <w:lvl w:ilvl="2" w:tplc="D5804A62" w:tentative="1">
      <w:start w:val="1"/>
      <w:numFmt w:val="lowerRoman"/>
      <w:lvlText w:val="%3."/>
      <w:lvlJc w:val="right"/>
      <w:pPr>
        <w:tabs>
          <w:tab w:val="num" w:pos="2160"/>
        </w:tabs>
        <w:ind w:left="2160" w:hanging="180"/>
      </w:pPr>
    </w:lvl>
    <w:lvl w:ilvl="3" w:tplc="075E0A36" w:tentative="1">
      <w:start w:val="1"/>
      <w:numFmt w:val="decimal"/>
      <w:lvlText w:val="%4."/>
      <w:lvlJc w:val="left"/>
      <w:pPr>
        <w:tabs>
          <w:tab w:val="num" w:pos="2880"/>
        </w:tabs>
        <w:ind w:left="2880" w:hanging="360"/>
      </w:pPr>
    </w:lvl>
    <w:lvl w:ilvl="4" w:tplc="12ACA5F8" w:tentative="1">
      <w:start w:val="1"/>
      <w:numFmt w:val="lowerLetter"/>
      <w:lvlText w:val="%5."/>
      <w:lvlJc w:val="left"/>
      <w:pPr>
        <w:tabs>
          <w:tab w:val="num" w:pos="3600"/>
        </w:tabs>
        <w:ind w:left="3600" w:hanging="360"/>
      </w:pPr>
    </w:lvl>
    <w:lvl w:ilvl="5" w:tplc="85440D98" w:tentative="1">
      <w:start w:val="1"/>
      <w:numFmt w:val="lowerRoman"/>
      <w:lvlText w:val="%6."/>
      <w:lvlJc w:val="right"/>
      <w:pPr>
        <w:tabs>
          <w:tab w:val="num" w:pos="4320"/>
        </w:tabs>
        <w:ind w:left="4320" w:hanging="180"/>
      </w:pPr>
    </w:lvl>
    <w:lvl w:ilvl="6" w:tplc="E0720C3A" w:tentative="1">
      <w:start w:val="1"/>
      <w:numFmt w:val="decimal"/>
      <w:lvlText w:val="%7."/>
      <w:lvlJc w:val="left"/>
      <w:pPr>
        <w:tabs>
          <w:tab w:val="num" w:pos="5040"/>
        </w:tabs>
        <w:ind w:left="5040" w:hanging="360"/>
      </w:pPr>
    </w:lvl>
    <w:lvl w:ilvl="7" w:tplc="5602EE58" w:tentative="1">
      <w:start w:val="1"/>
      <w:numFmt w:val="lowerLetter"/>
      <w:lvlText w:val="%8."/>
      <w:lvlJc w:val="left"/>
      <w:pPr>
        <w:tabs>
          <w:tab w:val="num" w:pos="5760"/>
        </w:tabs>
        <w:ind w:left="5760" w:hanging="360"/>
      </w:pPr>
    </w:lvl>
    <w:lvl w:ilvl="8" w:tplc="39387552"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7BF6198C">
      <w:start w:val="1"/>
      <w:numFmt w:val="bullet"/>
      <w:pStyle w:val="Lijstopsomteken"/>
      <w:lvlText w:val="•"/>
      <w:lvlJc w:val="left"/>
      <w:pPr>
        <w:tabs>
          <w:tab w:val="num" w:pos="227"/>
        </w:tabs>
        <w:ind w:left="227" w:hanging="227"/>
      </w:pPr>
      <w:rPr>
        <w:rFonts w:ascii="Verdana" w:hAnsi="Verdana" w:hint="default"/>
        <w:sz w:val="18"/>
        <w:szCs w:val="18"/>
      </w:rPr>
    </w:lvl>
    <w:lvl w:ilvl="1" w:tplc="6AE0A694" w:tentative="1">
      <w:start w:val="1"/>
      <w:numFmt w:val="bullet"/>
      <w:lvlText w:val="o"/>
      <w:lvlJc w:val="left"/>
      <w:pPr>
        <w:tabs>
          <w:tab w:val="num" w:pos="1440"/>
        </w:tabs>
        <w:ind w:left="1440" w:hanging="360"/>
      </w:pPr>
      <w:rPr>
        <w:rFonts w:ascii="Courier New" w:hAnsi="Courier New" w:cs="Courier New" w:hint="default"/>
      </w:rPr>
    </w:lvl>
    <w:lvl w:ilvl="2" w:tplc="E6D6648A" w:tentative="1">
      <w:start w:val="1"/>
      <w:numFmt w:val="bullet"/>
      <w:lvlText w:val=""/>
      <w:lvlJc w:val="left"/>
      <w:pPr>
        <w:tabs>
          <w:tab w:val="num" w:pos="2160"/>
        </w:tabs>
        <w:ind w:left="2160" w:hanging="360"/>
      </w:pPr>
      <w:rPr>
        <w:rFonts w:ascii="Wingdings" w:hAnsi="Wingdings" w:hint="default"/>
      </w:rPr>
    </w:lvl>
    <w:lvl w:ilvl="3" w:tplc="574673BE" w:tentative="1">
      <w:start w:val="1"/>
      <w:numFmt w:val="bullet"/>
      <w:lvlText w:val=""/>
      <w:lvlJc w:val="left"/>
      <w:pPr>
        <w:tabs>
          <w:tab w:val="num" w:pos="2880"/>
        </w:tabs>
        <w:ind w:left="2880" w:hanging="360"/>
      </w:pPr>
      <w:rPr>
        <w:rFonts w:ascii="Symbol" w:hAnsi="Symbol" w:hint="default"/>
      </w:rPr>
    </w:lvl>
    <w:lvl w:ilvl="4" w:tplc="E13E83A0" w:tentative="1">
      <w:start w:val="1"/>
      <w:numFmt w:val="bullet"/>
      <w:lvlText w:val="o"/>
      <w:lvlJc w:val="left"/>
      <w:pPr>
        <w:tabs>
          <w:tab w:val="num" w:pos="3600"/>
        </w:tabs>
        <w:ind w:left="3600" w:hanging="360"/>
      </w:pPr>
      <w:rPr>
        <w:rFonts w:ascii="Courier New" w:hAnsi="Courier New" w:cs="Courier New" w:hint="default"/>
      </w:rPr>
    </w:lvl>
    <w:lvl w:ilvl="5" w:tplc="FA567EA2" w:tentative="1">
      <w:start w:val="1"/>
      <w:numFmt w:val="bullet"/>
      <w:lvlText w:val=""/>
      <w:lvlJc w:val="left"/>
      <w:pPr>
        <w:tabs>
          <w:tab w:val="num" w:pos="4320"/>
        </w:tabs>
        <w:ind w:left="4320" w:hanging="360"/>
      </w:pPr>
      <w:rPr>
        <w:rFonts w:ascii="Wingdings" w:hAnsi="Wingdings" w:hint="default"/>
      </w:rPr>
    </w:lvl>
    <w:lvl w:ilvl="6" w:tplc="A99A0E24" w:tentative="1">
      <w:start w:val="1"/>
      <w:numFmt w:val="bullet"/>
      <w:lvlText w:val=""/>
      <w:lvlJc w:val="left"/>
      <w:pPr>
        <w:tabs>
          <w:tab w:val="num" w:pos="5040"/>
        </w:tabs>
        <w:ind w:left="5040" w:hanging="360"/>
      </w:pPr>
      <w:rPr>
        <w:rFonts w:ascii="Symbol" w:hAnsi="Symbol" w:hint="default"/>
      </w:rPr>
    </w:lvl>
    <w:lvl w:ilvl="7" w:tplc="E0D4C2C0" w:tentative="1">
      <w:start w:val="1"/>
      <w:numFmt w:val="bullet"/>
      <w:lvlText w:val="o"/>
      <w:lvlJc w:val="left"/>
      <w:pPr>
        <w:tabs>
          <w:tab w:val="num" w:pos="5760"/>
        </w:tabs>
        <w:ind w:left="5760" w:hanging="360"/>
      </w:pPr>
      <w:rPr>
        <w:rFonts w:ascii="Courier New" w:hAnsi="Courier New" w:cs="Courier New" w:hint="default"/>
      </w:rPr>
    </w:lvl>
    <w:lvl w:ilvl="8" w:tplc="D0D6539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7358846E">
      <w:start w:val="1"/>
      <w:numFmt w:val="bullet"/>
      <w:pStyle w:val="Lijstopsomteken2"/>
      <w:lvlText w:val="–"/>
      <w:lvlJc w:val="left"/>
      <w:pPr>
        <w:tabs>
          <w:tab w:val="num" w:pos="227"/>
        </w:tabs>
        <w:ind w:left="227" w:firstLine="0"/>
      </w:pPr>
      <w:rPr>
        <w:rFonts w:ascii="Verdana" w:hAnsi="Verdana" w:hint="default"/>
      </w:rPr>
    </w:lvl>
    <w:lvl w:ilvl="1" w:tplc="FDA65A88" w:tentative="1">
      <w:start w:val="1"/>
      <w:numFmt w:val="bullet"/>
      <w:lvlText w:val="o"/>
      <w:lvlJc w:val="left"/>
      <w:pPr>
        <w:tabs>
          <w:tab w:val="num" w:pos="1440"/>
        </w:tabs>
        <w:ind w:left="1440" w:hanging="360"/>
      </w:pPr>
      <w:rPr>
        <w:rFonts w:ascii="Courier New" w:hAnsi="Courier New" w:cs="Courier New" w:hint="default"/>
      </w:rPr>
    </w:lvl>
    <w:lvl w:ilvl="2" w:tplc="A3FC7900" w:tentative="1">
      <w:start w:val="1"/>
      <w:numFmt w:val="bullet"/>
      <w:lvlText w:val=""/>
      <w:lvlJc w:val="left"/>
      <w:pPr>
        <w:tabs>
          <w:tab w:val="num" w:pos="2160"/>
        </w:tabs>
        <w:ind w:left="2160" w:hanging="360"/>
      </w:pPr>
      <w:rPr>
        <w:rFonts w:ascii="Wingdings" w:hAnsi="Wingdings" w:hint="default"/>
      </w:rPr>
    </w:lvl>
    <w:lvl w:ilvl="3" w:tplc="635E9238" w:tentative="1">
      <w:start w:val="1"/>
      <w:numFmt w:val="bullet"/>
      <w:lvlText w:val=""/>
      <w:lvlJc w:val="left"/>
      <w:pPr>
        <w:tabs>
          <w:tab w:val="num" w:pos="2880"/>
        </w:tabs>
        <w:ind w:left="2880" w:hanging="360"/>
      </w:pPr>
      <w:rPr>
        <w:rFonts w:ascii="Symbol" w:hAnsi="Symbol" w:hint="default"/>
      </w:rPr>
    </w:lvl>
    <w:lvl w:ilvl="4" w:tplc="1512B72C" w:tentative="1">
      <w:start w:val="1"/>
      <w:numFmt w:val="bullet"/>
      <w:lvlText w:val="o"/>
      <w:lvlJc w:val="left"/>
      <w:pPr>
        <w:tabs>
          <w:tab w:val="num" w:pos="3600"/>
        </w:tabs>
        <w:ind w:left="3600" w:hanging="360"/>
      </w:pPr>
      <w:rPr>
        <w:rFonts w:ascii="Courier New" w:hAnsi="Courier New" w:cs="Courier New" w:hint="default"/>
      </w:rPr>
    </w:lvl>
    <w:lvl w:ilvl="5" w:tplc="C6E6FFE8" w:tentative="1">
      <w:start w:val="1"/>
      <w:numFmt w:val="bullet"/>
      <w:lvlText w:val=""/>
      <w:lvlJc w:val="left"/>
      <w:pPr>
        <w:tabs>
          <w:tab w:val="num" w:pos="4320"/>
        </w:tabs>
        <w:ind w:left="4320" w:hanging="360"/>
      </w:pPr>
      <w:rPr>
        <w:rFonts w:ascii="Wingdings" w:hAnsi="Wingdings" w:hint="default"/>
      </w:rPr>
    </w:lvl>
    <w:lvl w:ilvl="6" w:tplc="1E32A356" w:tentative="1">
      <w:start w:val="1"/>
      <w:numFmt w:val="bullet"/>
      <w:lvlText w:val=""/>
      <w:lvlJc w:val="left"/>
      <w:pPr>
        <w:tabs>
          <w:tab w:val="num" w:pos="5040"/>
        </w:tabs>
        <w:ind w:left="5040" w:hanging="360"/>
      </w:pPr>
      <w:rPr>
        <w:rFonts w:ascii="Symbol" w:hAnsi="Symbol" w:hint="default"/>
      </w:rPr>
    </w:lvl>
    <w:lvl w:ilvl="7" w:tplc="85EAC08C" w:tentative="1">
      <w:start w:val="1"/>
      <w:numFmt w:val="bullet"/>
      <w:lvlText w:val="o"/>
      <w:lvlJc w:val="left"/>
      <w:pPr>
        <w:tabs>
          <w:tab w:val="num" w:pos="5760"/>
        </w:tabs>
        <w:ind w:left="5760" w:hanging="360"/>
      </w:pPr>
      <w:rPr>
        <w:rFonts w:ascii="Courier New" w:hAnsi="Courier New" w:cs="Courier New" w:hint="default"/>
      </w:rPr>
    </w:lvl>
    <w:lvl w:ilvl="8" w:tplc="4B5A1E1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5C2803EE">
      <w:start w:val="1"/>
      <w:numFmt w:val="decimal"/>
      <w:pStyle w:val="lijst-nummer1"/>
      <w:lvlText w:val="%1."/>
      <w:lvlJc w:val="left"/>
      <w:pPr>
        <w:tabs>
          <w:tab w:val="num" w:pos="720"/>
        </w:tabs>
        <w:ind w:left="720" w:hanging="363"/>
      </w:pPr>
      <w:rPr>
        <w:rFonts w:hint="default"/>
      </w:rPr>
    </w:lvl>
    <w:lvl w:ilvl="1" w:tplc="F9F00E60" w:tentative="1">
      <w:start w:val="1"/>
      <w:numFmt w:val="lowerLetter"/>
      <w:lvlText w:val="%2."/>
      <w:lvlJc w:val="left"/>
      <w:pPr>
        <w:tabs>
          <w:tab w:val="num" w:pos="1440"/>
        </w:tabs>
        <w:ind w:left="1440" w:hanging="360"/>
      </w:pPr>
    </w:lvl>
    <w:lvl w:ilvl="2" w:tplc="CA1E5FA4" w:tentative="1">
      <w:start w:val="1"/>
      <w:numFmt w:val="lowerRoman"/>
      <w:lvlText w:val="%3."/>
      <w:lvlJc w:val="right"/>
      <w:pPr>
        <w:tabs>
          <w:tab w:val="num" w:pos="2160"/>
        </w:tabs>
        <w:ind w:left="2160" w:hanging="180"/>
      </w:pPr>
    </w:lvl>
    <w:lvl w:ilvl="3" w:tplc="A2AC3666" w:tentative="1">
      <w:start w:val="1"/>
      <w:numFmt w:val="decimal"/>
      <w:lvlText w:val="%4."/>
      <w:lvlJc w:val="left"/>
      <w:pPr>
        <w:tabs>
          <w:tab w:val="num" w:pos="2880"/>
        </w:tabs>
        <w:ind w:left="2880" w:hanging="360"/>
      </w:pPr>
    </w:lvl>
    <w:lvl w:ilvl="4" w:tplc="3DEAB4B8" w:tentative="1">
      <w:start w:val="1"/>
      <w:numFmt w:val="lowerLetter"/>
      <w:lvlText w:val="%5."/>
      <w:lvlJc w:val="left"/>
      <w:pPr>
        <w:tabs>
          <w:tab w:val="num" w:pos="3600"/>
        </w:tabs>
        <w:ind w:left="3600" w:hanging="360"/>
      </w:pPr>
    </w:lvl>
    <w:lvl w:ilvl="5" w:tplc="6442BED4" w:tentative="1">
      <w:start w:val="1"/>
      <w:numFmt w:val="lowerRoman"/>
      <w:lvlText w:val="%6."/>
      <w:lvlJc w:val="right"/>
      <w:pPr>
        <w:tabs>
          <w:tab w:val="num" w:pos="4320"/>
        </w:tabs>
        <w:ind w:left="4320" w:hanging="180"/>
      </w:pPr>
    </w:lvl>
    <w:lvl w:ilvl="6" w:tplc="60F8756E" w:tentative="1">
      <w:start w:val="1"/>
      <w:numFmt w:val="decimal"/>
      <w:lvlText w:val="%7."/>
      <w:lvlJc w:val="left"/>
      <w:pPr>
        <w:tabs>
          <w:tab w:val="num" w:pos="5040"/>
        </w:tabs>
        <w:ind w:left="5040" w:hanging="360"/>
      </w:pPr>
    </w:lvl>
    <w:lvl w:ilvl="7" w:tplc="A0AA237E" w:tentative="1">
      <w:start w:val="1"/>
      <w:numFmt w:val="lowerLetter"/>
      <w:lvlText w:val="%8."/>
      <w:lvlJc w:val="left"/>
      <w:pPr>
        <w:tabs>
          <w:tab w:val="num" w:pos="5760"/>
        </w:tabs>
        <w:ind w:left="5760" w:hanging="360"/>
      </w:pPr>
    </w:lvl>
    <w:lvl w:ilvl="8" w:tplc="07E4F960"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4.4.0&quot; existing=&quot;H%3A%5CApplication%20Data%5CMicrosoft%20Office%5COutlook%5CSecureTempFolder%5C20240123%20Kamerbrief%20stand%20van%20zaken%20implementatie_AV.docx#Document&quot; model=&quot;brief-2010.xml&quot; profile=&quot;minjus&quot; target=&quot;Microsoft Word&quot; target-build=&quot;16.0.16130&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Minister van Justitie en Veiligheid &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afzendkopje&quot;&gt;Contactpersoon&lt;/p&gt;&lt;p style=&quot;afzendgegevens&quot;&gt;T  070 370 68 89&lt;/p&gt;&lt;p style=&quot;afzendgegevens&quot;&gt;F  070 370 79 39&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gt;&lt;p style=&quot;broodtekst&quot;&gt;De minister van Justitie en Veiligheid&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ASD&quot; value=&quot;2&quot;&gt;&lt;afzender aanhef=&quot;1&quot; country-code=&quot;31&quot; country-id=&quot;NLD&quot; groetregel=&quot;1&quot; name=&quot;ASD&quot; organisatie=&quot;274&quot; taal=&quot;1043&quot;&gt;&lt;taal id=&quot;1043&quot;/&gt;&lt;taal id=&quot;2057&quot;/&gt;&lt;taal id=&quot;1031&quot;/&gt;&lt;taal id=&quot;1036&quot;/&gt;&lt;taal id=&quot;1034&quot;/&gt;&lt;/afzender&gt;_x000d__x000a_&lt;/ondertekenaar-item&gt;&lt;tweedeondertekenaar-item/&gt;&lt;behandelddoor-item formatted-value=&quot;ASD&quot; value=&quot;2&quot;&gt;&lt;afzender aanhef=&quot;1&quot; country-code=&quot;31&quot; country-id=&quot;NLD&quot; groetregel=&quot;1&quot; name=&quot;ASD&quot; organisatie=&quot;274&quot; taal=&quot;1043&quot;&gt;&lt;taal id=&quot;1043&quot;/&gt;&lt;taal id=&quot;2057&quot;/&gt;&lt;taal id=&quot;1031&quot;/&gt;&lt;taal id=&quot;1036&quot;/&gt;&lt;taal id=&quot;1034&quot;/&gt;&lt;/afzender&gt;_x000d__x000a_&lt;/behandelddoor-item&gt;&lt;organisatie-item formatted-value=&quot;Minister van Justitie en Veiligheid&quot; value=&quot;55&quot;&gt;&lt;organisatie facebook=&quot;&quot; id=&quot;55&quot; linkedin=&quot;&quot; twitter=&quot;&quot; youtube=&quot;&quot; zoekveld=&quot;Minister van Justitie en Veiligheid&quot;&gt;_x000d__x000a_&lt;taal baadres=&quot;Turfmarkt 147&quot; banknaam=&quot;&quot; banknummer=&quot;&quot; baplaats=&quot;Den Haag&quot; bapostcode=&quot;2511 DP&quot; bezoekadres=&quot;Bezoekadres\nTurfmarkt 147\n2511 DP Den Haag\nTelefoon 070 370 68 89\nFax 070 370 79 39\nwww.rijksoverheid.nl/jenv&quot; bic=&quot;&quot; email=&quot;&quot; faxnummer=&quot;070 370 79 39&quot; iban=&quot;&quot; id=&quot;1043&quot; infonummer=&quot;&quot; instructies=&quot;Bij beantwoording de datum en ons kenmerk vermelden. Wilt u slechts één zaak in uw brief behandelen.&quot; kleuren=&quot;alles&quot; koptekst=&quot;\nMinister van Justitie en Veiligheid \n&quot; land=&quot;Nederland&quot; logo=&quot;RO_J&quot; naamdirectie=&quot;&quot; naamdirectoraatgeneraal=&quot;Minister van Justitie en Veiligheid &quot; naamgebouw=&quot;&quot; omschrijving=&quot;Minister van Justitie en Veiligheid&quot; paadres=&quot;20301&quot; paplaats=&quot;Den Haag&quot; papostcode=&quot;2500 EH&quot; payoff=&quot;Voor een rechtvaardige en veilige samenleving&quot; postadres=&quot;Postadres:\nPostbus 20301,\n2500 EH Den Haag&quot; search=&quot;Minister van Justitie en Veiligheid&quot; telefoonnummer=&quot;0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Den Haag&quot; bapostcode=&quot;2511 DP&quot; bezoekadres=&quot;Bezoekadres\nTurfmarkt 147\n2511 DP Den Haag\nTelefoon +31 70 370 68 89\nFax +31 70 370 79 39\nwww.rijksoverheid.nl/jenv&quot; bic=&quot;&quot; email=&quot;&quot; faxnummer=&quot;+31 70 370 79 39&quot; iban=&quot;&quot; id=&quot;1031&quot; infonummer=&quot;&quot; instructies=&quot;Antwortt bitte Datum und unser Zeichen angeben. Bitte pro Zuschrift nur eine Angelegenheit behandeln.&quot; kleuren=&quot;alles&quot; koptekst=&quot;\nMinister für Justiz und Sicherheit\n&quot; land=&quot;Niederlande&quot; logo=&quot;RO_J&quot; naamdirectie=&quot;&quot; naamdirectoraatgeneraal=&quot;Minister für Justiz und Sicherheit&quot; naamgebouw=&quot;&quot; omschrijving=&quot;Minister für Justiz und Sicherheit&quot; paadres=&quot;20301&quot; paplaats=&quot;Den Haag&quot; papostcode=&quot;2500 EH&quot; payoff=&quot;&quot; postadres=&quot;Postadres:\nPostbus 20301,\n2500 EH Den Haag&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La Haye&quot; bapostcode=&quot;2511 DP&quot; bezoekadres=&quot;Bezoekadres\nTurfmarkt 147\n2511 DP La Haye\nTelefoon +31 70 370 68 89\nFax +31 70 370 79 39\nwww.rijksoverheid.nl/jenv&quot; bic=&quot;&quot; email=&quot;&quot; faxnummer=&quot;+31 70 370 79 39&quot; iban=&quot;&quot; id=&quot;1036&quot; infonummer=&quot;&quot; instructies=&quot;Prière de mentionner dans toute correspondance la date et notre référence. Prière de ne traiter qu'une seule affaire par lettre.&quot; kleuren=&quot;alles&quot; koptekst=&quot;\nMinistre de la Justice et de la Sécurité\n&quot; land=&quot;Pays-Bas&quot; logo=&quot;RO_J&quot; naamdirectie=&quot;&quot; naamdirectoraatgeneraal=&quot;Ministre de la Justice et de la Sécurité&quot; naamgebouw=&quot;&quot; omschrijving=&quot;Ministre de la Justice et de la Sécurité&quot; paadres=&quot;20301&quot; paplaats=&quot;La Haye&quot; papostcode=&quot;2500 EH&quot; payoff=&quot;&quot; postadres=&quot;Postadres:\nPostbus 20301,\n2500 EH La Haye&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The Hague&quot; bapostcode=&quot;2511 DP&quot; bezoekadres=&quot;Bezoekadres\nTurfmarkt 147\n2511 DP The Hague\nTelefoon +31 70 370 68 89\nFax +31 70 370 79 39\nwww.rijksoverheid.nl/jenv&quot; bic=&quot;&quot; email=&quot;&quot; faxnummer=&quot;+31 70 370 79 39&quot; iban=&quot;&quot; id=&quot;2057&quot; infonummer=&quot;&quot; instructies=&quot;Please quote date of letter and our ref. when replying. Do not raise more than one subject per letter.&quot; kleuren=&quot;alles&quot; koptekst=&quot;\nMinister of Justice and Security\n&quot; land=&quot;The Netherlands&quot; logo=&quot;RO_J&quot; naamdirectie=&quot;&quot; naamdirectoraatgeneraal=&quot;Minister of Justice and Security&quot; naamgebouw=&quot;&quot; omschrijving=&quot;Minister of Justice and Security&quot; paadres=&quot;20301&quot; paplaats=&quot;The Hague&quot; papostcode=&quot;2500 EH&quot; payoff=&quot;&quot; postadres=&quot;Postadres:\nPostbus 20301,\n2500 EH The Hague&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La Haya&quot; bapostcode=&quot;2511 DP&quot; bezoekadres=&quot;Bezoekadres\nTurfmarkt 147\n2511 DP La Haya\nTelefoon +31 70 370 68 89\nFax +31 70 370 79 39\nwww.rijksoverheid.nl/jenv&quot; bic=&quot;&quot; email=&quot;&quot; faxnummer=&quot;+31 70 370 79 39&quot; iban=&quot;&quot; id=&quot;1034&quot; infonummer=&quot;&quot; instructies=&quot;En su eventual contestación, por favor, indique la fecha y nuestro número de referencia. Le rogamos en cada carta trate un solo asunto.&quot; kleuren=&quot;alles&quot; koptekst=&quot;\nMinistro de Justicia y Seguridad\n&quot; land=&quot;Países Bajos&quot; logo=&quot;RO_J&quot; naamdirectie=&quot;&quot; naamdirectoraatgeneraal=&quot;Ministro de Justicia y Seguridad&quot; naamgebouw=&quot;&quot; omschrijving=&quot;Ministro de Justicia y Seguridad&quot; paadres=&quot;20301&quot; paplaats=&quot;La Haya&quot; papostcode=&quot;2500 EH&quot; payoff=&quot;&quot; postadres=&quot;Postadres:\nPostbus 20301,\n2500 EH La Haya&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Stand van zaken implementatie NIS2- en CER-richtlijnen&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39&quot; value=&quot;070 370 79 39&quot;&gt;&lt;phonenumber country-code=&quot;31&quot; number=&quot;070 370 79 39&quot;/&gt;&lt;/faxorganisatie&gt;&lt;telorganisatie formatted-value=&quot;070 370 68 89&quot; value=&quot;070 370 68 89&quot;&gt;&lt;phonenumber country-code=&quot;31&quot; number=&quot;070 370 68 89&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quot;/&gt;&lt;functie formatted-value=&quot;&quot;/&gt;&lt;retouradres formatted-value=&quot;&amp;gt; Retouradres&amp;#160;Postbus 20301&amp;#160;2500 EH&amp;#160;&amp;#160;Den Haag&quot;/&gt;&lt;directoraat formatted-value=&quot;Minister van Justitie en Veiligheid &quot; value=&quot;Minister van Justitie en Veiligheid &quot;/&gt;&lt;directoraatvolg formatted-value=&quot;Minister van Justitie en Veiligheid&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22 januari 2024&quot; value=&quot;2024-01-22T14:02:04&quot;/&gt;&lt;onskenmerk format-disabled=&quot;true&quot; formatted-value=&quot;5193678&quot; value=&quot;5193678&quot;/&gt;&lt;uwkenmerk formatted-value=&quot;&quot;/&gt;&lt;onderwerp format-disabled=&quot;true&quot; formatted-value=&quot;Stand van zaken implementatie NIS2- en CER-richtlijnen&quot; value=&quot;Stand van zaken implementatie NIS2- en CER-richtlijnen&quot;/&gt;&lt;bijlage formatted-value=&quot;&quot;/&gt;&lt;projectnaam/&gt;&lt;kopieaan/&gt;&lt;namensdeze format-disabled=&quot;true&quot; formatted-value=&quot;De minister van Justitie en Veiligheid&quot; value=&quot;De minister van Justitie en Veiligheid&quot;/&gt;&lt;rubricering formatted-value=&quot;&quot;/&gt;&lt;rubriceringvolg formatted-value=&quot;&quot;/&gt;&lt;digijust formatted-value=&quot;0&quot; value=&quot;0&quot;/&gt;&lt;chkcontact value=&quot;1&quot;/&gt;&lt;radtelefoon value=&quot;1&quot;/&gt;&lt;chkfunctie1 format-disabled=&quot;true&quot; formatted-value=&quot;0&quot; value=&quot;0&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C329BB"/>
    <w:rsid w:val="000129A4"/>
    <w:rsid w:val="00037463"/>
    <w:rsid w:val="00097B7D"/>
    <w:rsid w:val="000C51A3"/>
    <w:rsid w:val="000E4FC7"/>
    <w:rsid w:val="000E522C"/>
    <w:rsid w:val="001311BD"/>
    <w:rsid w:val="00162F0B"/>
    <w:rsid w:val="001A0E10"/>
    <w:rsid w:val="001B5B02"/>
    <w:rsid w:val="00206085"/>
    <w:rsid w:val="002118EC"/>
    <w:rsid w:val="0025348C"/>
    <w:rsid w:val="002C37CA"/>
    <w:rsid w:val="00325F85"/>
    <w:rsid w:val="00334770"/>
    <w:rsid w:val="003E43B0"/>
    <w:rsid w:val="00402500"/>
    <w:rsid w:val="0040796D"/>
    <w:rsid w:val="004B7CE2"/>
    <w:rsid w:val="004D6734"/>
    <w:rsid w:val="004E6C54"/>
    <w:rsid w:val="00597F59"/>
    <w:rsid w:val="005B585C"/>
    <w:rsid w:val="005E59B3"/>
    <w:rsid w:val="005F4209"/>
    <w:rsid w:val="00620AD2"/>
    <w:rsid w:val="00640997"/>
    <w:rsid w:val="00652887"/>
    <w:rsid w:val="00666B4A"/>
    <w:rsid w:val="00690E82"/>
    <w:rsid w:val="006A430B"/>
    <w:rsid w:val="006F2E16"/>
    <w:rsid w:val="00794445"/>
    <w:rsid w:val="007C28A6"/>
    <w:rsid w:val="00820405"/>
    <w:rsid w:val="00851E00"/>
    <w:rsid w:val="0089073C"/>
    <w:rsid w:val="0089166A"/>
    <w:rsid w:val="008A7B34"/>
    <w:rsid w:val="008B1C2C"/>
    <w:rsid w:val="008C2BE5"/>
    <w:rsid w:val="008C498F"/>
    <w:rsid w:val="009327FD"/>
    <w:rsid w:val="009338E4"/>
    <w:rsid w:val="009625FD"/>
    <w:rsid w:val="00963F1F"/>
    <w:rsid w:val="009744EC"/>
    <w:rsid w:val="009745F5"/>
    <w:rsid w:val="009B09F2"/>
    <w:rsid w:val="009D6013"/>
    <w:rsid w:val="00A21C26"/>
    <w:rsid w:val="00A41BC0"/>
    <w:rsid w:val="00AE623F"/>
    <w:rsid w:val="00AF39B2"/>
    <w:rsid w:val="00B07A5A"/>
    <w:rsid w:val="00B1035E"/>
    <w:rsid w:val="00B2078A"/>
    <w:rsid w:val="00B46C81"/>
    <w:rsid w:val="00B5440C"/>
    <w:rsid w:val="00BC394B"/>
    <w:rsid w:val="00BC491B"/>
    <w:rsid w:val="00BC6776"/>
    <w:rsid w:val="00C15678"/>
    <w:rsid w:val="00C22108"/>
    <w:rsid w:val="00C329BB"/>
    <w:rsid w:val="00C609C1"/>
    <w:rsid w:val="00CB546E"/>
    <w:rsid w:val="00CC3E4D"/>
    <w:rsid w:val="00D2034F"/>
    <w:rsid w:val="00D73E58"/>
    <w:rsid w:val="00DC0483"/>
    <w:rsid w:val="00DC2673"/>
    <w:rsid w:val="00DD1C86"/>
    <w:rsid w:val="00E3317E"/>
    <w:rsid w:val="00E4138F"/>
    <w:rsid w:val="00E46F34"/>
    <w:rsid w:val="00E55385"/>
    <w:rsid w:val="00E65872"/>
    <w:rsid w:val="00F24762"/>
    <w:rsid w:val="00F517A7"/>
    <w:rsid w:val="00F602AB"/>
    <w:rsid w:val="00F60DEA"/>
    <w:rsid w:val="00F75106"/>
    <w:rsid w:val="00F8563A"/>
    <w:rsid w:val="00FA60D5"/>
    <w:rsid w:val="00FD188D"/>
    <w:rsid w:val="00FE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5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Revisie">
    <w:name w:val="Revision"/>
    <w:hidden/>
    <w:uiPriority w:val="99"/>
    <w:semiHidden/>
    <w:rsid w:val="00640997"/>
    <w:rPr>
      <w:rFonts w:ascii="Verdana" w:hAnsi="Verdana"/>
      <w:sz w:val="18"/>
      <w:szCs w:val="24"/>
      <w:lang w:val="nl-NL" w:eastAsia="nl-NL"/>
    </w:rPr>
  </w:style>
  <w:style w:type="character" w:styleId="Verwijzingopmerking">
    <w:name w:val="annotation reference"/>
    <w:basedOn w:val="Standaardalinea-lettertype"/>
    <w:semiHidden/>
    <w:unhideWhenUsed/>
    <w:rsid w:val="00BC6776"/>
    <w:rPr>
      <w:sz w:val="16"/>
      <w:szCs w:val="16"/>
    </w:rPr>
  </w:style>
  <w:style w:type="paragraph" w:styleId="Tekstopmerking">
    <w:name w:val="annotation text"/>
    <w:basedOn w:val="Standaard"/>
    <w:link w:val="TekstopmerkingChar"/>
    <w:unhideWhenUsed/>
    <w:rsid w:val="00BC6776"/>
    <w:pPr>
      <w:spacing w:line="240" w:lineRule="auto"/>
    </w:pPr>
    <w:rPr>
      <w:sz w:val="20"/>
      <w:szCs w:val="20"/>
    </w:rPr>
  </w:style>
  <w:style w:type="character" w:customStyle="1" w:styleId="TekstopmerkingChar">
    <w:name w:val="Tekst opmerking Char"/>
    <w:basedOn w:val="Standaardalinea-lettertype"/>
    <w:link w:val="Tekstopmerking"/>
    <w:rsid w:val="00BC6776"/>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C6776"/>
    <w:rPr>
      <w:b/>
      <w:bCs/>
    </w:rPr>
  </w:style>
  <w:style w:type="character" w:customStyle="1" w:styleId="OnderwerpvanopmerkingChar">
    <w:name w:val="Onderwerp van opmerking Char"/>
    <w:basedOn w:val="TekstopmerkingChar"/>
    <w:link w:val="Onderwerpvanopmerking"/>
    <w:semiHidden/>
    <w:rsid w:val="00BC6776"/>
    <w:rPr>
      <w:rFonts w:ascii="Verdana" w:hAnsi="Verdana"/>
      <w:b/>
      <w:bCs/>
      <w:lang w:val="nl-NL" w:eastAsia="nl-NL"/>
    </w:rPr>
  </w:style>
  <w:style w:type="character" w:customStyle="1" w:styleId="UnresolvedMention">
    <w:name w:val="Unresolved Mention"/>
    <w:basedOn w:val="Standaardalinea-lettertype"/>
    <w:uiPriority w:val="99"/>
    <w:semiHidden/>
    <w:unhideWhenUsed/>
    <w:rsid w:val="00402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nctv.nl/onderwerpen/cer--en-nis2-richtlijnen/hoe-kan-uw-organisatie-zich-voorbereiden-op-de-cer--en-nis2-richtlijnen" TargetMode="External"/><Relationship Id="rId2" Type="http://schemas.openxmlformats.org/officeDocument/2006/relationships/hyperlink" Target="https://eur-lex.europa.eu/eli/dir/2022/2557/" TargetMode="External"/><Relationship Id="rId1" Type="http://schemas.openxmlformats.org/officeDocument/2006/relationships/hyperlink" Target="https://eur-lex.europa.eu/legal-content/EN/TXT/?uri=CELEX%3A32022L255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AKHAN\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595</ap:Words>
  <ap:Characters>3277</ap:Characters>
  <ap:DocSecurity>0</ap:DocSecurity>
  <ap:Lines>27</ap:Lines>
  <ap:Paragraphs>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2024-01-31T07:28:00.0000000Z</dcterms:created>
  <dcterms:modified xsi:type="dcterms:W3CDTF">2024-01-31T07:28:00.0000000Z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De Voorzitter van de Tweede Kamer_x000d_der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22 januari 2024</vt:lpwstr>
  </property>
  <property fmtid="{D5CDD505-2E9C-101B-9397-08002B2CF9AE}" pid="8" name="directieregel">
    <vt:lpwstr> _x000d_</vt:lpwstr>
  </property>
  <property fmtid="{D5CDD505-2E9C-101B-9397-08002B2CF9AE}" pid="9" name="directoraat">
    <vt:lpwstr>Minister van Justitie en Veiligheid </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Minister van Justitie en Veiligheid</vt:lpwstr>
  </property>
  <property fmtid="{D5CDD505-2E9C-101B-9397-08002B2CF9AE}" pid="13" name="functie">
    <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Stand van zaken implementatie NIS2- en CER-richtlijnen</vt:lpwstr>
  </property>
  <property fmtid="{D5CDD505-2E9C-101B-9397-08002B2CF9AE}" pid="23" name="onskenmerk">
    <vt:lpwstr>5193678</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